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57293" w14:textId="77777777" w:rsidR="00AB372F" w:rsidRPr="00AB372F" w:rsidRDefault="00AB372F" w:rsidP="00AB372F">
      <w:pPr>
        <w:pStyle w:val="Nadpis1"/>
        <w:keepLines w:val="0"/>
        <w:numPr>
          <w:ilvl w:val="0"/>
          <w:numId w:val="1"/>
        </w:numPr>
        <w:spacing w:before="0" w:line="276" w:lineRule="auto"/>
        <w:jc w:val="center"/>
        <w:rPr>
          <w:rFonts w:ascii="Times New Roman" w:hAnsi="Times New Roman" w:cs="Times New Roman"/>
          <w:color w:val="auto"/>
          <w:kern w:val="32"/>
          <w:sz w:val="36"/>
          <w:szCs w:val="36"/>
        </w:rPr>
      </w:pPr>
      <w:bookmarkStart w:id="0" w:name="_Toc359266606"/>
      <w:bookmarkStart w:id="1" w:name="_Toc515867906"/>
      <w:bookmarkStart w:id="2" w:name="_Toc521599045"/>
      <w:r w:rsidRPr="00AB372F">
        <w:rPr>
          <w:rFonts w:ascii="Times New Roman" w:hAnsi="Times New Roman" w:cs="Times New Roman"/>
          <w:color w:val="auto"/>
          <w:kern w:val="32"/>
          <w:sz w:val="36"/>
          <w:szCs w:val="36"/>
        </w:rPr>
        <w:t>Vývoj európskej integrácie</w:t>
      </w:r>
      <w:bookmarkEnd w:id="0"/>
      <w:bookmarkEnd w:id="1"/>
      <w:bookmarkEnd w:id="2"/>
    </w:p>
    <w:p w14:paraId="4E795BF3" w14:textId="77777777" w:rsidR="00AB372F" w:rsidRPr="00AB372F" w:rsidRDefault="00AB372F" w:rsidP="00AB372F">
      <w:pPr>
        <w:spacing w:line="276" w:lineRule="auto"/>
        <w:ind w:left="720"/>
        <w:contextualSpacing/>
      </w:pPr>
    </w:p>
    <w:p w14:paraId="20C95E5C" w14:textId="77777777" w:rsidR="00AB372F" w:rsidRPr="00AB372F" w:rsidRDefault="00AB372F" w:rsidP="00AB372F">
      <w:pPr>
        <w:spacing w:line="276" w:lineRule="auto"/>
      </w:pPr>
    </w:p>
    <w:p w14:paraId="6835A42B" w14:textId="77777777" w:rsidR="00AB372F" w:rsidRPr="00AB372F" w:rsidRDefault="00AB372F" w:rsidP="00AB372F">
      <w:pPr>
        <w:pStyle w:val="Nadpis2"/>
        <w:rPr>
          <w:rFonts w:ascii="Times New Roman" w:hAnsi="Times New Roman" w:cs="Times New Roman"/>
        </w:rPr>
      </w:pPr>
      <w:bookmarkStart w:id="3" w:name="_Toc359266607"/>
      <w:bookmarkStart w:id="4" w:name="_Toc515867907"/>
      <w:bookmarkStart w:id="5" w:name="_Toc521599046"/>
      <w:r w:rsidRPr="00AB372F">
        <w:rPr>
          <w:rFonts w:ascii="Times New Roman" w:hAnsi="Times New Roman" w:cs="Times New Roman"/>
        </w:rPr>
        <w:t>1.1 Vznik troch európskych spoločenstiev</w:t>
      </w:r>
      <w:bookmarkEnd w:id="3"/>
      <w:bookmarkEnd w:id="4"/>
      <w:bookmarkEnd w:id="5"/>
    </w:p>
    <w:p w14:paraId="6CE80107" w14:textId="77777777" w:rsidR="00AB372F" w:rsidRPr="00AB372F" w:rsidRDefault="00AB372F" w:rsidP="00AB372F">
      <w:pPr>
        <w:spacing w:line="276" w:lineRule="auto"/>
        <w:jc w:val="both"/>
      </w:pPr>
    </w:p>
    <w:p w14:paraId="1B7C499B" w14:textId="77777777" w:rsidR="00AB372F" w:rsidRPr="00AB372F" w:rsidRDefault="00AB372F" w:rsidP="00AB372F">
      <w:pPr>
        <w:spacing w:line="276" w:lineRule="auto"/>
        <w:ind w:firstLine="426"/>
        <w:jc w:val="both"/>
      </w:pPr>
      <w:r w:rsidRPr="00AB372F">
        <w:t xml:space="preserve">Po druhej svetovej vojne sa začínajú objavovať rôzne snahy štátov medzinárodného spoločenstva o vzájomnú spoluprácu. Najvýraznejší úspech zaznamenala spolupráca v oblasti ochrany základných ľudských práv a slobôd, kedy boli prijaté na pôde Organizácie spojených národov medzinárodné pakty o ochrane občianskych, politických, ekonomických, sociálnych a kultúrnych práv. V Európe vznikla v roku 1949 Rada Európy. Jej hlavným cieľom bolo presadzovať ochranu základných práv a ľudských slobôd v jej členských štátoch. Dohovor o ochrane ľudských práv a základných slobôd podpísaný v Ríme v roku 1950 je dodnes najvýznamnejším dokumentom pri zabezpečovaní ochrany ľudských práv a slobôd. </w:t>
      </w:r>
    </w:p>
    <w:p w14:paraId="0A206DB1" w14:textId="77777777" w:rsidR="00AB372F" w:rsidRPr="00AB372F" w:rsidRDefault="00AB372F" w:rsidP="00AB372F">
      <w:pPr>
        <w:spacing w:line="276" w:lineRule="auto"/>
        <w:ind w:firstLine="426"/>
        <w:jc w:val="both"/>
      </w:pPr>
      <w:r w:rsidRPr="00AB372F">
        <w:t xml:space="preserve">Okrem presadzovania ľudských práv, potláčaných počas druhej svetovej vojny, sa vo vojnou zničených krajinách začali objavovať ďalšie iniciatívy spolupráce medzi európskymi krajinami. Kým snahy o vytváranie vojenských a obranných aliancií neviedli k výraznejšiemu úspechu, o to väčší úspech zaznamenala spolupráca v hospodárskej oblasti. Európske krajiny poznačené vojnou už dávno neboli hlavnými aktérmi svetových dejín. Ich miesto prevzalo Rusko a Spojené štáty americké. Ak chceli európske štáty byť významným subjektom aj v dejinách novoveku, boli nútené zjednotiť svoje sily, potlačiť nacionalistické názory a začať spolupracovať v ekonomickej aj politickej sfére. </w:t>
      </w:r>
    </w:p>
    <w:p w14:paraId="191CE37D" w14:textId="77777777" w:rsidR="00AB372F" w:rsidRPr="00AB372F" w:rsidRDefault="00AB372F" w:rsidP="00AB372F">
      <w:pPr>
        <w:spacing w:line="276" w:lineRule="auto"/>
        <w:ind w:firstLine="426"/>
        <w:jc w:val="both"/>
      </w:pPr>
      <w:r w:rsidRPr="00AB372F">
        <w:t xml:space="preserve">Prvým úspešným pokusom o vzájomnú hospodársku spoluprácu bol plán francúzskeho politika Roberta </w:t>
      </w:r>
      <w:proofErr w:type="spellStart"/>
      <w:r w:rsidRPr="00AB372F">
        <w:t>Schumana</w:t>
      </w:r>
      <w:proofErr w:type="spellEnd"/>
      <w:r w:rsidRPr="00AB372F">
        <w:t xml:space="preserve"> (1886 – 1963), predstavený v Paríži dňa 9. mája 1950. Tento plán hospodárskej spolupráce sa do dejín zapísal pod názvom </w:t>
      </w:r>
      <w:proofErr w:type="spellStart"/>
      <w:r w:rsidRPr="00AB372F">
        <w:t>Schumanova</w:t>
      </w:r>
      <w:proofErr w:type="spellEnd"/>
      <w:r w:rsidRPr="00AB372F">
        <w:t xml:space="preserve"> deklarácia. </w:t>
      </w:r>
      <w:proofErr w:type="spellStart"/>
      <w:r w:rsidRPr="00AB372F">
        <w:t>Schuman</w:t>
      </w:r>
      <w:proofErr w:type="spellEnd"/>
      <w:r w:rsidRPr="00AB372F">
        <w:t xml:space="preserve"> pôvodne zamýšľal vytvoriť nemeckú a francúzsku spoluprácu v oblasti priemyslu uhlia a ocele. Záujem o ňu však prejavili aj ďalšie európske krajiny. K tejto spolupráci sa pridalo okrem Francúzska a Nemecka aj Taliansko, Holandsko, Belgicko a Luxembursko. Spolupráca spočívala vo vytvorení Vysokého úradu, ktorý by riadil a kontroloval výrobu a distribúciu uhlia a ocele na nadnárodnej úrovni, čím sa malo zabrániť tomu, aby kľúčové suroviny pre rozpútanie ďalšej svetovej vojny boli nekontrolovane v rukách jedného štátu. Vysoký úrad sa stal prvou zo štyroch inštitúcií medzinárodnej organizácie, Európskeho spoločenstva pre uhlie a oceľ (ESUO), ktorá vznikla v roku 1952. Medzinárodná zmluva uzavretá medzi týmito šiestimi členskými štátmi, ktorou bolo založené ESUO, vytvorila štyri inštitúcie: Vysoký úrad ako orgán s najvyššou rozhodovacou právomocou a Rada ako orgán s poradnou funkciou, v ktorých mali členské štáty po jednom zástupcovi, Zhromaždenie s kontrolnou právomocou zložené zo zástupcov parlamentov členských štátov a Súdny dvor so súdnou právomocou zložený zo siedmich sudov a dvoch generálnych advokátov.</w:t>
      </w:r>
      <w:r w:rsidRPr="00AB372F">
        <w:rPr>
          <w:vertAlign w:val="superscript"/>
        </w:rPr>
        <w:footnoteReference w:id="1"/>
      </w:r>
      <w:r w:rsidRPr="00AB372F">
        <w:t xml:space="preserve"> Zmluva bola uzavretá na 50 rokov (jej platnosť skončila 23.júla 2002). </w:t>
      </w:r>
    </w:p>
    <w:p w14:paraId="044FF121" w14:textId="77777777" w:rsidR="00AB372F" w:rsidRPr="00AB372F" w:rsidRDefault="00AB372F" w:rsidP="00AB372F">
      <w:pPr>
        <w:spacing w:line="276" w:lineRule="auto"/>
        <w:ind w:firstLine="426"/>
        <w:jc w:val="both"/>
      </w:pPr>
      <w:r w:rsidRPr="00AB372F">
        <w:t xml:space="preserve">Ďalšie pokusy európskych štátov o spoluprácu v oblasti spoločnej obrannej politiky dopadli neúspešne. Odozvu pre ďalšie integračné kroky našli až projekty Jeana </w:t>
      </w:r>
      <w:proofErr w:type="spellStart"/>
      <w:r w:rsidRPr="00AB372F">
        <w:t>Monneta</w:t>
      </w:r>
      <w:proofErr w:type="spellEnd"/>
      <w:r w:rsidRPr="00AB372F">
        <w:t xml:space="preserve">, ktoré si osvojil belgický politik Paul </w:t>
      </w:r>
      <w:proofErr w:type="spellStart"/>
      <w:r w:rsidRPr="00AB372F">
        <w:t>Henri</w:t>
      </w:r>
      <w:proofErr w:type="spellEnd"/>
      <w:r w:rsidRPr="00AB372F">
        <w:t xml:space="preserve"> </w:t>
      </w:r>
      <w:proofErr w:type="spellStart"/>
      <w:r w:rsidRPr="00AB372F">
        <w:t>Spaak</w:t>
      </w:r>
      <w:proofErr w:type="spellEnd"/>
      <w:r w:rsidRPr="00AB372F">
        <w:t xml:space="preserve">, známe ako Európske spoločenstvo pre </w:t>
      </w:r>
      <w:r w:rsidRPr="00AB372F">
        <w:lastRenderedPageBreak/>
        <w:t xml:space="preserve">atómovú energiu (EURATOM) a Európske hospodárske spoločenstvo (EHS). Pôvodných šesť členských štátov podpísalo v Ríme 25.marca 1957 medzinárodné zmluvy, tzv. Rímske zmluvy o založení EURATOM a EHS, ktoré vstúpili do platnosti 1.januára 1958 a na rozdiel od ESUO boli založené na dobu neurčitú. Hlavným cieľom EURATOM bola spolupráca v oblasti mierového využívania jadrovej energie. Hlavným cieľom EHS bola myšlienka spoločného trhu, ktorá však svoju reálnejšiu podobu dostala až oveľa neskôr, prijatím tzv. Jednotného európskeho aktu. Okrem toho Zmluva o EHS zaviedla spoločné pravidlá hospodárskej súťaže, spoločnú obchodnú politiku, položila právny základ pre vznik spoločnej poľnohospodárskej politiky a spoločnej dopravnej politiky. Inštitúcie ESUO (Zhromaždenie a Súd ESUO) sa stali aj inštitúciami dvoch nových európskych spoločenstiev. Okrem nich boli pre EURATOM a EHS osobitne vytvorené nové inštitúcie a to Rada ministrov, Komisia a Hospodársky a sociálny výbor. </w:t>
      </w:r>
    </w:p>
    <w:p w14:paraId="09E233BE" w14:textId="77777777" w:rsidR="00AB372F" w:rsidRPr="00AB372F" w:rsidRDefault="00AB372F" w:rsidP="00AB372F">
      <w:pPr>
        <w:spacing w:line="276" w:lineRule="auto"/>
        <w:ind w:firstLine="426"/>
        <w:jc w:val="both"/>
      </w:pPr>
      <w:r w:rsidRPr="00AB372F">
        <w:t>Rok 1965 sa spája s dvoma významnými udalosťami vo vývoji európskej integrácie. Prvou bolo podpísanie Zmluvy o zlúčení, kedy sa vytvoril jednotný systém inštitúcií pre všetky tri európske spoločenstvá (Zhromaždenie, Súd, Rada, Komisia, Hospodárky a sociálny výbor). Druhou významnou udalosťou bol Luxemburský kompromis, ktorý rozhodol o pokračovaní v európskom integračnom procese. Francúzsko totiž nesúhlasilo so zavedením väčšinového hlasovania v niektorých vybraných oblastiach spolupráce a prestalo sa zúčastňovať na zasadnutiach európskych inštitúcií. To spôsobilo, že tieto inštitúcie neboli schopné prijať žiadne rozhodnutie, nakoľko sa vyžadovala jednomyseľnosť. Navyše Francúzsko iniciovalo vytvorenie akejsi Európskej rady (formálne však bola zriadená až v roku 1974), ktorá sa schádzala niekoľkokrát ročne na úrovni predstaviteľov členských štátov a často rozhodovali aj o otázkach spadajúcich do kompetencií európskych spoločenstiev. Prijatý Luxemburský kompromis znamenal aplikáciu väčšinového hlasovania pod podmienkou, že ak niektorý členský štát označí prerokovávanú problematiku za dôležitý štátny záujem, bude sa na prijatie rozhodnutia vyžadovať jednomyseľné hlasovanie. Do prijatia Jednotného európskeho aktu sa tak väčšinové hlasovanie prakticky nevyužívalo.</w:t>
      </w:r>
    </w:p>
    <w:p w14:paraId="45E7AEB4" w14:textId="77777777" w:rsidR="00AB372F" w:rsidRPr="00AB372F" w:rsidRDefault="00AB372F" w:rsidP="00AB372F">
      <w:pPr>
        <w:spacing w:line="276" w:lineRule="auto"/>
        <w:jc w:val="both"/>
      </w:pPr>
    </w:p>
    <w:p w14:paraId="64260F72" w14:textId="77777777" w:rsidR="00AB372F" w:rsidRPr="00AB372F" w:rsidRDefault="00AB372F" w:rsidP="00AB372F">
      <w:pPr>
        <w:pStyle w:val="Nadpis2"/>
        <w:rPr>
          <w:rFonts w:ascii="Times New Roman" w:hAnsi="Times New Roman" w:cs="Times New Roman"/>
        </w:rPr>
      </w:pPr>
      <w:bookmarkStart w:id="6" w:name="_Toc359266608"/>
      <w:bookmarkStart w:id="7" w:name="_Toc515867908"/>
      <w:bookmarkStart w:id="8" w:name="_Toc521599047"/>
      <w:r w:rsidRPr="00AB372F">
        <w:rPr>
          <w:rFonts w:ascii="Times New Roman" w:hAnsi="Times New Roman" w:cs="Times New Roman"/>
        </w:rPr>
        <w:t>1.2 Jednotný európsky akt</w:t>
      </w:r>
      <w:bookmarkEnd w:id="6"/>
      <w:bookmarkEnd w:id="7"/>
      <w:bookmarkEnd w:id="8"/>
    </w:p>
    <w:p w14:paraId="232B8360" w14:textId="77777777" w:rsidR="00AB372F" w:rsidRPr="00AB372F" w:rsidRDefault="00AB372F" w:rsidP="00AB372F">
      <w:pPr>
        <w:spacing w:line="276" w:lineRule="auto"/>
        <w:jc w:val="both"/>
      </w:pPr>
    </w:p>
    <w:p w14:paraId="575BB01F" w14:textId="77777777" w:rsidR="00AB372F" w:rsidRPr="00AB372F" w:rsidRDefault="00AB372F" w:rsidP="00AB372F">
      <w:pPr>
        <w:spacing w:line="276" w:lineRule="auto"/>
        <w:ind w:firstLine="426"/>
        <w:jc w:val="both"/>
      </w:pPr>
      <w:r w:rsidRPr="00AB372F">
        <w:t xml:space="preserve">V roku 1973 pristúpili k trom európskym spoločenstvám nové štáty, a to Veľká Británia, Írsko a Dánsko. V roku 1981 sa pripojilo Grécko a v roku 1986 aj Španielsko a Portugalsko. Avšak rok 1986 sa spája aj s prvou významnejšou reformou zmlúv o založení európskych spoločenstiev od čias ich vzniku. Jednotný európsky akt (JEA), podpísaný  v roku 1986 a platný od roku 1987, priniesol so sebou radikálne zmeny, ktoré sa dotkli fungovania európskych inštitúcií i samotnej hospodárskej integrácie. </w:t>
      </w:r>
    </w:p>
    <w:p w14:paraId="73808294" w14:textId="77777777" w:rsidR="00AB372F" w:rsidRPr="00AB372F" w:rsidRDefault="00AB372F" w:rsidP="00AB372F">
      <w:pPr>
        <w:spacing w:line="276" w:lineRule="auto"/>
        <w:ind w:firstLine="426"/>
        <w:jc w:val="both"/>
      </w:pPr>
      <w:r w:rsidRPr="00AB372F">
        <w:t xml:space="preserve">JEA začal presadzovať myšlienku EHS o spoločnom trhu reálne do života. Komisia bola poverená vypracovať opatrenia, nevyhnutné na to, aby sa spoločný vnútorný trh stal realitou do konca roka 1992. JEA pritom definoval vnútorný trh ako priestor bez vnútorných hraníc, v ktorom má byť zabezpečená sloboda voľného pohybu tovarov, služieb, osôb a kapitálu. </w:t>
      </w:r>
    </w:p>
    <w:p w14:paraId="241E687F" w14:textId="77777777" w:rsidR="00AB372F" w:rsidRPr="00AB372F" w:rsidRDefault="00AB372F" w:rsidP="00AB372F">
      <w:pPr>
        <w:spacing w:line="276" w:lineRule="auto"/>
        <w:ind w:firstLine="426"/>
        <w:jc w:val="both"/>
      </w:pPr>
      <w:r w:rsidRPr="00AB372F">
        <w:t xml:space="preserve">V rámci inštitucionálnych zmien bola formálne uznaná Európska rada, ktorá vznikla v  roku 1974 nezávisle od európskych spoločenstiev a nemala oporu v zakladateľských dokumentoch ESUO, EURATOM a EHS. Jednotný európsky akt jej však zatiaľ konkrétne </w:t>
      </w:r>
      <w:r w:rsidRPr="00AB372F">
        <w:lastRenderedPageBreak/>
        <w:t>úlohy nevymedzil, určil iba počet jej zasadnutí na dvakrát za rok a to na úrovni predstaviteľov hláv a vlád členských štátov.</w:t>
      </w:r>
    </w:p>
    <w:p w14:paraId="3D9B8603" w14:textId="77777777" w:rsidR="00AB372F" w:rsidRPr="00AB372F" w:rsidRDefault="00AB372F" w:rsidP="00AB372F">
      <w:pPr>
        <w:spacing w:line="276" w:lineRule="auto"/>
        <w:ind w:firstLine="426"/>
        <w:jc w:val="both"/>
      </w:pPr>
      <w:r w:rsidRPr="00AB372F">
        <w:t xml:space="preserve">Druhou významnou zmenou, ktorú priniesol JEA, bolo zavedenie kooperačného postupu na prijímanie právnych aktov. Tým sa posilnila pozícia Európskeho parlamentu, ktorý mal dovtedy len konzultačné právomoci vo vzťahu k Rade. Rada bola jediným orgánom, ktorý mohol prijímať právne predpisy. Zavedením kooperačného postupu  potrebovala Rada kladné stanovisko Európskeho parlamentu na prijatie právneho aktu. Ak ho Európsky parlament nedal, Rada mohla síce prijať právny akt, ale nie kvalifikovanou väčšinou, ale iba jednomyseľným hlasovaním, čo bolo nepochybne náročnejšie dosiahnuť. Zároveň sa určili oblasti, v ktorých bolo možné rozhodovať väčšinovým hlasovaním, a kde sa do prijatia JEA vyžadovalo jednomyseľné hlasovanie. </w:t>
      </w:r>
    </w:p>
    <w:p w14:paraId="1270EB92" w14:textId="77777777" w:rsidR="00AB372F" w:rsidRPr="00AB372F" w:rsidRDefault="00AB372F" w:rsidP="00AB372F">
      <w:pPr>
        <w:spacing w:line="276" w:lineRule="auto"/>
        <w:ind w:firstLine="426"/>
        <w:jc w:val="both"/>
      </w:pPr>
      <w:r w:rsidRPr="00AB372F">
        <w:t xml:space="preserve">Treťou významnou inštitucionálnou zmenou bolo zriadenie Súdu prvého stupňa na odbremenenie Súdneho dvora, ktorý mal za úlohu rozhodovať v menej závažných veciach. </w:t>
      </w:r>
    </w:p>
    <w:p w14:paraId="110A08A6" w14:textId="77777777" w:rsidR="00AB372F" w:rsidRPr="00AB372F" w:rsidRDefault="00AB372F" w:rsidP="00AB372F">
      <w:pPr>
        <w:spacing w:line="276" w:lineRule="auto"/>
      </w:pPr>
    </w:p>
    <w:p w14:paraId="48FA7C28" w14:textId="77777777" w:rsidR="00AB372F" w:rsidRPr="00AB372F" w:rsidRDefault="00AB372F" w:rsidP="00AB372F">
      <w:pPr>
        <w:pStyle w:val="Nadpis2"/>
        <w:rPr>
          <w:rFonts w:ascii="Times New Roman" w:hAnsi="Times New Roman" w:cs="Times New Roman"/>
        </w:rPr>
      </w:pPr>
      <w:bookmarkStart w:id="9" w:name="_Toc359266609"/>
      <w:bookmarkStart w:id="10" w:name="_Toc515867909"/>
      <w:bookmarkStart w:id="11" w:name="_Toc521599048"/>
      <w:r w:rsidRPr="00AB372F">
        <w:rPr>
          <w:rFonts w:ascii="Times New Roman" w:hAnsi="Times New Roman" w:cs="Times New Roman"/>
        </w:rPr>
        <w:t>1.3 Vznik Európskej únie verzus Maastrichtská zmluva</w:t>
      </w:r>
      <w:bookmarkEnd w:id="9"/>
      <w:bookmarkEnd w:id="10"/>
      <w:bookmarkEnd w:id="11"/>
    </w:p>
    <w:p w14:paraId="4C79D8AE" w14:textId="77777777" w:rsidR="00AB372F" w:rsidRPr="00AB372F" w:rsidRDefault="00AB372F" w:rsidP="00AB372F">
      <w:pPr>
        <w:spacing w:line="276" w:lineRule="auto"/>
      </w:pPr>
    </w:p>
    <w:p w14:paraId="797A765B" w14:textId="77777777" w:rsidR="00AB372F" w:rsidRPr="00AB372F" w:rsidRDefault="00AB372F" w:rsidP="00AB372F">
      <w:pPr>
        <w:spacing w:line="276" w:lineRule="auto"/>
        <w:ind w:firstLine="426"/>
        <w:jc w:val="both"/>
      </w:pPr>
      <w:r w:rsidRPr="00AB372F">
        <w:t xml:space="preserve">Koncom 80. rokov sa opäť objavujú otázky, kam bude smerovať ďalší vývoj európskej integrácie. Jednou z hlavných otázok bolo, či pokračovať v zabehnutej hospodárskej integrácii a odvážiť sa vstúpiť do štvrtého a zároveň posledného stupňa hospodárskej integrácie, ktorou je hospodárska a menová únia alebo sa začať zaoberať politickou spoluprácou, ktorú dovtedy európske štáty odmietali. Výsledkom tejto polemiky bola Zmluva o Európskej únii (ZEÚ), podpísaná v Maastrichte v roku 1992. Do platnosti vstúpila až 1.novembra 1993 a pri jej zrode stálo dvanásť členských štátov európskych spoločenstiev. Podľa ZEÚ, často nazývanej aj Maastrichtská zmluva, Európska únia (EÚ) bola založená na troch európskych spoločenstvách a doplnená o spoluprácu v druhom a treťom pilieri. Vytvoril sa tak zložitý systém spolupráce medzi členskými štátmi. </w:t>
      </w:r>
    </w:p>
    <w:p w14:paraId="6A1B7785" w14:textId="77777777" w:rsidR="00AB372F" w:rsidRPr="00AB372F" w:rsidRDefault="00AB372F" w:rsidP="00AB372F">
      <w:pPr>
        <w:spacing w:line="276" w:lineRule="auto"/>
        <w:ind w:firstLine="426"/>
        <w:jc w:val="both"/>
      </w:pPr>
      <w:r w:rsidRPr="00AB372F">
        <w:t xml:space="preserve">Prvým pilierom EÚ sa stali pôvodné tri európske spoločenstvá (avšak Európske hospodárske spoločenstvo sa premenovalo na Európske spoločenstvo, pretože spolupráca členských štátov zďaleka nebola založená už len na hospodárskej spolupráci, ale sa rozšírila o ďalšie oblasti, napr. sociálne, kultúrne, vzdelávacie). Spoluprácu v tomto pilieri možno označiť aj za nadnárodnú (supranacionálnu), odlišnú od klasickej medzinárodnej spolupráce. Rozhodnutia sa prijímali väčšinovým hlasovaním (v medzinárodnom práve sa vyžadovala jednomyseľnosť). Právne akty, prijaté v rámci prvého piliera, boli záväzné nielen pre členské štáty, ale priamo aj pre fyzické a právnické osoby týchto členských štátov (právne akty medzinárodného práva zaväzovali len členské štáty a medzinárodné organizácie, nie priamo fyzické a právnické osoby). Právne akty prvého piliera nepotrebovali recepciu do vnútroštátneho práva jednotlivých členských štátov, ale boli priamo použiteľné na území všetkých členských štátov po ich uverejnení v Úradnom vestníku EÚ (v medzinárodnom práve sa vždy vyžadovala recepcia medzinárodnej zmluvy do vnútroštátneho právneho poriadku). Pre označenie právneho systému prvého piliera sa zaužíval pojem komunitárne právo (z angl. </w:t>
      </w:r>
      <w:proofErr w:type="spellStart"/>
      <w:r w:rsidRPr="00AB372F">
        <w:t>community</w:t>
      </w:r>
      <w:proofErr w:type="spellEnd"/>
      <w:r w:rsidRPr="00AB372F">
        <w:t xml:space="preserve">, resp. franc. </w:t>
      </w:r>
      <w:proofErr w:type="spellStart"/>
      <w:r w:rsidRPr="00AB372F">
        <w:t>communautaire</w:t>
      </w:r>
      <w:proofErr w:type="spellEnd"/>
      <w:r w:rsidRPr="00AB372F">
        <w:t xml:space="preserve">, čo v preklade znamená spoločenstvo), t.j. právo spoločenstiev, troch európskych spoločenstiev, na ktorých bol prvý pilier vybudovaný. Tým sa vytvoril akýsi nový právny systém, ktorý sa začal uplatňovať na území členských štátov popri ich vnútroštátnych právnych poriadkoch. V prípade, že sa dostalo do </w:t>
      </w:r>
      <w:r w:rsidRPr="00AB372F">
        <w:lastRenderedPageBreak/>
        <w:t xml:space="preserve">rozporu komunitárne právo s právom vnútroštátnym, bolo potrebné uplatniť právnu normu komunitárneho práva. V opačnom prípade by celá hospodárska integrácia a spolupráca v prvom pilieri nemala zmysel, ak by si členské štáty mohli vybrať, či uprednostnia komunitárne alebo vnútroštátne právo. </w:t>
      </w:r>
    </w:p>
    <w:p w14:paraId="3AC509E6" w14:textId="77777777" w:rsidR="00AB372F" w:rsidRPr="00AB372F" w:rsidRDefault="00AB372F" w:rsidP="00AB372F">
      <w:pPr>
        <w:spacing w:line="276" w:lineRule="auto"/>
        <w:ind w:firstLine="426"/>
        <w:jc w:val="both"/>
      </w:pPr>
      <w:r w:rsidRPr="00AB372F">
        <w:t>Druhý pilier EÚ zaviedol dlho odmietanú spoluprácu členských štátov v oblasti spoločnej zahraničnej a bezpečnostnej politiky. Spolupráca v tomto pilieri bola podobná spolupráci v oblasti medzinárodného práva, t.j. právne akty sa prijímali spravidla jednomyseľne, zaväzovali iba členské štáty a vyžadovali recepciu do vnútroštátnych právnych poriadkov jednotlivých členských štátov. Preto táto oblasť nebola začlenená do dovtedajšej zaužívanej spolupráce európskych spoločenstiev, ale sa vyčlenila do samostatného piliera.</w:t>
      </w:r>
    </w:p>
    <w:p w14:paraId="34199B91" w14:textId="77777777" w:rsidR="00AB372F" w:rsidRPr="00AB372F" w:rsidRDefault="00AB372F" w:rsidP="00AB372F">
      <w:pPr>
        <w:spacing w:line="276" w:lineRule="auto"/>
        <w:ind w:firstLine="426"/>
        <w:jc w:val="both"/>
      </w:pPr>
      <w:r w:rsidRPr="00AB372F">
        <w:t xml:space="preserve">Tretí pilier EÚ vznikol ako potreba na zabezpečenie myšlienky vnútorného trhu. Ak chceli členské štáty dosiahnuť voľný pohyb tovarov, služieb, osôb a kapitálu a vytvoriť tak podmienky, ktoré by sa čo najviac približovali podmienkam skutočného vnútorného trhu akoby jedného štátu, museli sa vysporiadať s viacerými problémami. S voľným pohybom tovarov a služieb bolo potrebné riešiť spory, ktoré vzniknú medzi obchodníkmi z rôznych členských štátov, pretože výkon cudzieho súdneho rozhodnutia na území iného štátu závisel od toho, či ho súdne orgány tohto štátu uznajú. S vnútorným trhom sa odstraňovali aj bariéry pre čierny obchod, nelegálne aktivity a trestnú činnosť, preto bolo potrebné zjednotiť sily aj v rámci trestnej spolupráce. Voľným pohybom osôb sa uľahčili podmienky nelegálnej migrácie obyvateľstva, čo bolo potrebné riešiť v rámci vzájomnej spolupráce medzi členskými štátmi. Toto všetko si vyžiadalo vznik tretieho piliera tzv. spoluprácu v oblasti justície a vnútra. Táto spolupráca podobne ako spolupráca v druhom pilieri mala rysy medzinárodného práva a pretože problematiku druhého a tretieho piliera upravovala prvýkrát až Zmluva o Európskej únii, nazval sa systém právnych aktov prijatých v týchto dvoch pilieroch únijné  právo. </w:t>
      </w:r>
    </w:p>
    <w:p w14:paraId="5571C970" w14:textId="77777777" w:rsidR="00AB372F" w:rsidRPr="00AB372F" w:rsidRDefault="00AB372F" w:rsidP="00AB372F">
      <w:pPr>
        <w:spacing w:line="276" w:lineRule="auto"/>
        <w:ind w:firstLine="426"/>
        <w:jc w:val="both"/>
      </w:pPr>
      <w:r w:rsidRPr="00AB372F">
        <w:t xml:space="preserve">Zmluva o Európskej únii bola druhou zásadnou reformou európskych spoločenstiev, t.j. priniesla zmeny do dovtedajšej spolupráce európskych spoločenstiev a zároveň je to dokument, ktorým sa založila Európska únia, rozširujúc spoluprácu členských štátov o oblasti upravené v dvoch nových pilieroch. </w:t>
      </w:r>
    </w:p>
    <w:p w14:paraId="0949BDA2" w14:textId="77777777" w:rsidR="00AB372F" w:rsidRPr="00AB372F" w:rsidRDefault="00AB372F" w:rsidP="00AB372F">
      <w:pPr>
        <w:spacing w:line="276" w:lineRule="auto"/>
        <w:ind w:firstLine="426"/>
        <w:jc w:val="both"/>
      </w:pPr>
      <w:r w:rsidRPr="00AB372F">
        <w:t xml:space="preserve">Najdôležitejšou zmenou, ktorú ZEÚ zaviedla do prvého piliera, bola hospodárska a menová únia. Jej cieľom bolo dovŕšiť hospodársku integráciu zavedením spoločnej zahraničnej obchodnej politiky, spoločnej fiškálnej politiky, jednotnej úpravy daní a spoločnej menovej politiky, ktorá predpokladala spoločnú menu euro a vybudovanie príslušného inštitucionálneho systému (európskeho systému centrálnych bánk, Európskej centrálnej banky, Európskej investičnej banky, Európskeho menového fondu). Ďalšou dôležitou zmenou bolo posilnenie pozície Európskeho parlamentu zavedením </w:t>
      </w:r>
      <w:proofErr w:type="spellStart"/>
      <w:r w:rsidRPr="00AB372F">
        <w:t>spolurozhodovacieho</w:t>
      </w:r>
      <w:proofErr w:type="spellEnd"/>
      <w:r w:rsidRPr="00AB372F">
        <w:t xml:space="preserve"> postupu pri prijímaní právnych aktov. Pri takomto postupe Rada nemohla prijať právny akt bez súhlasu Európskeho parlamentu ani jednomyseľne (porovnaj kooperačný postup). Napokon Európska rada, ktorá bola uznaná Jednotným európskym aktom, dostala svoje prvé úlohy. Podľa čl. 4 ZEÚ Európska rada dáva Únii potrebné podnety na rozvoj a vymedzuje jej všeobecné politické smery. K európskym inštitúciám pribudla nová inštitúcia a to Účtovný dvor, ktorého úlohou bolo preskúmavať účty Európskych spoločenstiev a kontrolovať jeho príjmy a výdavky. Z iniciatívy Nemecka bol zriadený Výbor regiónov zložený zo zástupcov miestnych a regionálnych samospráv. Zmluva o Európskej únii po prvýkrát upravuje princíp </w:t>
      </w:r>
      <w:r w:rsidRPr="00AB372F">
        <w:lastRenderedPageBreak/>
        <w:t xml:space="preserve">proporcionality a subsidiarity, zavádza pojem občianstvo EÚ a inštitút európskeho ombudsmana.  </w:t>
      </w:r>
    </w:p>
    <w:p w14:paraId="6CFCB190" w14:textId="77777777" w:rsidR="00AB372F" w:rsidRPr="00AB372F" w:rsidRDefault="00AB372F" w:rsidP="00AB372F">
      <w:pPr>
        <w:spacing w:line="276" w:lineRule="auto"/>
      </w:pPr>
    </w:p>
    <w:p w14:paraId="3534C69E" w14:textId="77777777" w:rsidR="00AB372F" w:rsidRPr="00AB372F" w:rsidRDefault="00AB372F" w:rsidP="00AB372F">
      <w:pPr>
        <w:pStyle w:val="Nadpis2"/>
        <w:rPr>
          <w:rFonts w:ascii="Times New Roman" w:hAnsi="Times New Roman" w:cs="Times New Roman"/>
        </w:rPr>
      </w:pPr>
      <w:bookmarkStart w:id="12" w:name="_Toc359266610"/>
      <w:bookmarkStart w:id="13" w:name="_Toc515867910"/>
      <w:bookmarkStart w:id="14" w:name="_Toc521599049"/>
      <w:r w:rsidRPr="00AB372F">
        <w:rPr>
          <w:rFonts w:ascii="Times New Roman" w:hAnsi="Times New Roman" w:cs="Times New Roman"/>
        </w:rPr>
        <w:t>1.4 Amsterdamská zmluva</w:t>
      </w:r>
      <w:bookmarkEnd w:id="12"/>
      <w:bookmarkEnd w:id="13"/>
      <w:bookmarkEnd w:id="14"/>
    </w:p>
    <w:p w14:paraId="44B4650E" w14:textId="77777777" w:rsidR="00AB372F" w:rsidRPr="00AB372F" w:rsidRDefault="00AB372F" w:rsidP="00AB372F">
      <w:pPr>
        <w:spacing w:line="276" w:lineRule="auto"/>
      </w:pPr>
    </w:p>
    <w:p w14:paraId="579592C4" w14:textId="77777777" w:rsidR="00AB372F" w:rsidRPr="00AB372F" w:rsidRDefault="00AB372F" w:rsidP="00AB372F">
      <w:pPr>
        <w:spacing w:line="276" w:lineRule="auto"/>
        <w:ind w:firstLine="426"/>
        <w:jc w:val="both"/>
      </w:pPr>
      <w:r w:rsidRPr="00AB372F">
        <w:t xml:space="preserve">V roku 1995 sa k Európskej únii a európskym spoločenstvám pridávajú ďalšie krajiny a to Rakúsko, Švédsko a Fínsko. Svoj záujem o členstvo však prejavili v 90. rokoch aj krajiny strednej a východnej Európy. Najskôr však bolo potrebné pripraviť Európsku úniu na jej najväčšie rozšírenie. V roku 1997 sa začali práce na príprave ďalšej reformy zakladajúcich zmlúv ESUO, EURATOM a E(H)S v poradí už tretej a zároveň prvej reformy ZEÚ. Do platnosti vstúpila v roku 1999 pod názvom Amsterdamská zmluva. </w:t>
      </w:r>
    </w:p>
    <w:p w14:paraId="202C4A63" w14:textId="77777777" w:rsidR="00AB372F" w:rsidRPr="00AB372F" w:rsidRDefault="00AB372F" w:rsidP="00AB372F">
      <w:pPr>
        <w:spacing w:line="276" w:lineRule="auto"/>
        <w:ind w:firstLine="426"/>
        <w:jc w:val="both"/>
      </w:pPr>
      <w:r w:rsidRPr="00AB372F">
        <w:t>Hlavnou úlohou Amsterdamskej zmluvy bolo pripraviť EÚ na prijatie nových členov, reformovať spoločnú poľnohospodársku politiku a riešiť otázku nezamestnanosti. Zásadnou zmenou, ktorú so sebou priniesla, bola tzv. komunitarizácia tretieho piliera. Inak povedané, časť agendy tretieho piliera sa presunula do prvého piliera. Išlo predovšetkým o veci azylovej, imigračnej a vízovej politiky a o veci justičnej spolupráce v civilných veciach. V treťom pilieri tak zostala iba justičná a policajná spolupráca v trestných veciach. To znamenalo, že v presunutých oblastiach už bolo možné prijímať komunitárne právne akty a nebolo potrebné obmedzovať spoluprácu v týchto oblastiach len na prijímanie medzinárodných zmlúv. V dôsledku toho boli niektoré medzinárodné zmluvy pretransformované do sekundárnych právnych aktov (tzv. nariadení).</w:t>
      </w:r>
      <w:r w:rsidRPr="00AB372F">
        <w:rPr>
          <w:vertAlign w:val="superscript"/>
        </w:rPr>
        <w:footnoteReference w:id="2"/>
      </w:r>
    </w:p>
    <w:p w14:paraId="5E2E81FE" w14:textId="77777777" w:rsidR="00AB372F" w:rsidRPr="00AB372F" w:rsidRDefault="00AB372F" w:rsidP="00AB372F">
      <w:pPr>
        <w:spacing w:line="276" w:lineRule="auto"/>
        <w:ind w:firstLine="426"/>
        <w:jc w:val="both"/>
      </w:pPr>
      <w:r w:rsidRPr="00AB372F">
        <w:t xml:space="preserve">Druhá významná zmena, ktorú Amsterdamská zmluva priniesla, sa týkala druhého piliera. Zaviedla sa funkcia vysokého predstaviteľa pre zahraničnú politiku EÚ. Túto funkciu mal plniť generálny sekretár Rady, čím sa mala zabezpečiť jednotná prezentácia názorov EÚ na medzinárodnej politickej scéne. Dovtedy ich prezentovala Rada, ktorej každých šesť mesiacov predsedal iný štát a teda aj postoje EÚ na medzinárodnej scéne sa menili podľa názorov predsedajúceho štátu. ďalej sa rozšírili právomoci Európskej rady o otázky spoločnej obrany. </w:t>
      </w:r>
    </w:p>
    <w:p w14:paraId="393DD8CC" w14:textId="77777777" w:rsidR="00AB372F" w:rsidRPr="00AB372F" w:rsidRDefault="00AB372F" w:rsidP="00AB372F">
      <w:pPr>
        <w:spacing w:line="276" w:lineRule="auto"/>
        <w:ind w:firstLine="426"/>
        <w:jc w:val="both"/>
      </w:pPr>
      <w:r w:rsidRPr="00AB372F">
        <w:t xml:space="preserve">Ďalšou významnou zmenou bolo začlenenie Schengenského acquis do rámca Európskej únie. Základ </w:t>
      </w:r>
      <w:proofErr w:type="spellStart"/>
      <w:r w:rsidRPr="00AB372F">
        <w:t>Schengeského</w:t>
      </w:r>
      <w:proofErr w:type="spellEnd"/>
      <w:r w:rsidRPr="00AB372F">
        <w:t xml:space="preserve"> </w:t>
      </w:r>
      <w:proofErr w:type="spellStart"/>
      <w:r w:rsidRPr="00AB372F">
        <w:t>acquis</w:t>
      </w:r>
      <w:proofErr w:type="spellEnd"/>
      <w:r w:rsidRPr="00AB372F">
        <w:t xml:space="preserve"> položila Dohoda medzi vládami štátov Hospodárskej únie Beneluxu, Spolkovej republiky Nemecka a Francúzskej republiky o postupnom odstraňovaní kontroly na ich spoločných hraniciach  zo 14. júna 1985 podpísanou v </w:t>
      </w:r>
      <w:proofErr w:type="spellStart"/>
      <w:r w:rsidRPr="00AB372F">
        <w:t>Schengene</w:t>
      </w:r>
      <w:proofErr w:type="spellEnd"/>
      <w:r w:rsidRPr="00AB372F">
        <w:t xml:space="preserve">. V roku 1990 bol podpísaný Dohovor o vykonávaní Schengenskej dohody medzi tými istými krajinami. Veľká Británia a Írsko sa odmietli podieľať na tejto dohode a preto nie sú viazané </w:t>
      </w:r>
      <w:proofErr w:type="spellStart"/>
      <w:r w:rsidRPr="00AB372F">
        <w:t>schengeským</w:t>
      </w:r>
      <w:proofErr w:type="spellEnd"/>
      <w:r w:rsidRPr="00AB372F">
        <w:t xml:space="preserve"> </w:t>
      </w:r>
      <w:proofErr w:type="spellStart"/>
      <w:r w:rsidRPr="00AB372F">
        <w:t>acquis</w:t>
      </w:r>
      <w:proofErr w:type="spellEnd"/>
      <w:r w:rsidRPr="00AB372F">
        <w:t xml:space="preserve">. Ostatné krajiny Európskej únie sa postupne k týmto dohodám pripájali. Dohovor o vykonávaní Schengenskej dohody ustanovil detailné práva a povinnosti členských štátov a osôb nachádzajúcich sa na ich území. Vnútorné hranice môžu byť prekračované na ľubovoľných miestach bez kontroly. Vo vzťahu k občanom tretích krajín sa stanovilo jednotné vízum. Vytvoril sa spoločný informačný systém tzv. schengenský informačný </w:t>
      </w:r>
      <w:r w:rsidRPr="00AB372F">
        <w:lastRenderedPageBreak/>
        <w:t>systém (SIS). Za účelom poskytovania širších možností používateľom bolo prijaté rozhodnutie o vybudovaní druhej generácie SIS (tzv. SIS II).</w:t>
      </w:r>
      <w:r w:rsidRPr="00AB372F">
        <w:rPr>
          <w:vertAlign w:val="superscript"/>
        </w:rPr>
        <w:footnoteReference w:id="3"/>
      </w:r>
    </w:p>
    <w:p w14:paraId="14B2D6B0" w14:textId="77777777" w:rsidR="00AB372F" w:rsidRPr="00AB372F" w:rsidRDefault="00AB372F" w:rsidP="00AB372F">
      <w:pPr>
        <w:spacing w:line="276" w:lineRule="auto"/>
        <w:ind w:firstLine="426"/>
        <w:jc w:val="both"/>
      </w:pPr>
      <w:r w:rsidRPr="00AB372F">
        <w:t>Ďalšou významnou skutočnosťou je prečíslovanie ustanovení zakladateľských zmlúv primárneho práva. V dôsledku toho je potrebné staršie právne predpisy ako aj rozhodnutia Súdneho dvora  čítať v kontexte tabuľky zhody. Inak povedané, ak sa v starších dokumentoch odkazuje na harmonizačný článok 100 Zmluvy o EHS, po prečíslovaní Amsterdamskou zmluvou ide už o článok 94 Zmluvy o ES.</w:t>
      </w:r>
      <w:r w:rsidRPr="00AB372F">
        <w:rPr>
          <w:vertAlign w:val="superscript"/>
        </w:rPr>
        <w:footnoteReference w:id="4"/>
      </w:r>
    </w:p>
    <w:p w14:paraId="2BE2E9D7" w14:textId="77777777" w:rsidR="00AB372F" w:rsidRPr="00AB372F" w:rsidRDefault="00AB372F" w:rsidP="00AB372F">
      <w:pPr>
        <w:spacing w:line="276" w:lineRule="auto"/>
      </w:pPr>
    </w:p>
    <w:p w14:paraId="3B31B705" w14:textId="77777777" w:rsidR="00AB372F" w:rsidRPr="00AB372F" w:rsidRDefault="00AB372F" w:rsidP="00AB372F">
      <w:pPr>
        <w:pStyle w:val="Nadpis2"/>
        <w:rPr>
          <w:rFonts w:ascii="Times New Roman" w:hAnsi="Times New Roman" w:cs="Times New Roman"/>
        </w:rPr>
      </w:pPr>
      <w:bookmarkStart w:id="15" w:name="_Toc359266611"/>
      <w:bookmarkStart w:id="16" w:name="_Toc515867911"/>
      <w:bookmarkStart w:id="17" w:name="_Toc521599050"/>
      <w:r w:rsidRPr="00AB372F">
        <w:rPr>
          <w:rFonts w:ascii="Times New Roman" w:hAnsi="Times New Roman" w:cs="Times New Roman"/>
        </w:rPr>
        <w:t>1.5 Zmluva z Nice</w:t>
      </w:r>
      <w:bookmarkEnd w:id="15"/>
      <w:bookmarkEnd w:id="16"/>
      <w:bookmarkEnd w:id="17"/>
    </w:p>
    <w:p w14:paraId="7D471374" w14:textId="77777777" w:rsidR="00AB372F" w:rsidRPr="00AB372F" w:rsidRDefault="00AB372F" w:rsidP="00AB372F">
      <w:pPr>
        <w:spacing w:line="276" w:lineRule="auto"/>
      </w:pPr>
    </w:p>
    <w:p w14:paraId="2AC244C6" w14:textId="77777777" w:rsidR="00AB372F" w:rsidRPr="00AB372F" w:rsidRDefault="00AB372F" w:rsidP="00AB372F">
      <w:pPr>
        <w:spacing w:line="276" w:lineRule="auto"/>
        <w:ind w:firstLine="426"/>
        <w:jc w:val="both"/>
      </w:pPr>
      <w:r w:rsidRPr="00AB372F">
        <w:t xml:space="preserve">Krátko po prijatí Amsterdamskej zmluvy sa začala príprava na prijatí ďalšej zmluvy tzv. Zmluvy z Nice, ktorá vstúpila do platnosti 1.februára 2003, tesne pre vstupom desiatich nových štátov do EÚ. </w:t>
      </w:r>
    </w:p>
    <w:p w14:paraId="79D52EAD" w14:textId="77777777" w:rsidR="00AB372F" w:rsidRPr="00AB372F" w:rsidRDefault="00AB372F" w:rsidP="00AB372F">
      <w:pPr>
        <w:spacing w:line="276" w:lineRule="auto"/>
        <w:ind w:firstLine="426"/>
        <w:jc w:val="both"/>
      </w:pPr>
      <w:r w:rsidRPr="00AB372F">
        <w:t>Zmluva z Nice zreformovala súdna moc tým, že sa umožnilo Rade jednomyseľným hlasovaním zriaďovať tzv. súdne panely na rozhodovanie o určitých druhoch žalôb. Rada túto možnosť využila iba raz a založila Súd pre verejnú službu, ktorý riešil pracovnoprávne spory medzi zamestnancami v európskych inštitúciách a Európskou úniou.</w:t>
      </w:r>
      <w:r w:rsidRPr="00AB372F">
        <w:rPr>
          <w:vertAlign w:val="superscript"/>
        </w:rPr>
        <w:footnoteReference w:id="5"/>
      </w:r>
    </w:p>
    <w:p w14:paraId="026C9F62" w14:textId="77777777" w:rsidR="00AB372F" w:rsidRPr="00AB372F" w:rsidRDefault="00AB372F" w:rsidP="00AB372F">
      <w:pPr>
        <w:spacing w:line="276" w:lineRule="auto"/>
        <w:ind w:firstLine="426"/>
        <w:jc w:val="both"/>
      </w:pPr>
      <w:r w:rsidRPr="00AB372F">
        <w:t xml:space="preserve">Postupne rástol význam Európskeho parlamentu a jeho politického zloženia. Od konzultačnej právomoci, ktorú mal pred prijatím Jednotného európskeho aktu voči Rade sa postupne stával jej rovnocenným partnerom pri prijímaní právnych aktov. Preto Zmluva z Nice poverila Radu prijatím nariadenia, ktoré malo upravovať činnosť a financovanie politických strán. </w:t>
      </w:r>
    </w:p>
    <w:p w14:paraId="1C2B21E2" w14:textId="77777777" w:rsidR="00AB372F" w:rsidRPr="00AB372F" w:rsidRDefault="00AB372F" w:rsidP="00AB372F">
      <w:pPr>
        <w:spacing w:line="276" w:lineRule="auto"/>
        <w:ind w:firstLine="426"/>
        <w:jc w:val="both"/>
      </w:pPr>
      <w:r w:rsidRPr="00AB372F">
        <w:t xml:space="preserve">Spolu so Zmluvou z Nice bol prijatý a schválený politický dokument Charta základných práv EÚ. Nebol však právne záväzný, ale mal iba politicky záväzný charakter. Napriek tomu bola okamžite a často citovaná v stanoviskách generálnych advokátov a v rozhodnutiach Súdneho dvora.  </w:t>
      </w:r>
    </w:p>
    <w:p w14:paraId="3DBFA62F" w14:textId="77777777" w:rsidR="00AB372F" w:rsidRPr="00AB372F" w:rsidRDefault="00AB372F" w:rsidP="00AB372F">
      <w:pPr>
        <w:spacing w:line="276" w:lineRule="auto"/>
        <w:ind w:firstLine="426"/>
        <w:jc w:val="both"/>
      </w:pPr>
      <w:r w:rsidRPr="00AB372F">
        <w:t xml:space="preserve">Najdôležitejšou otázkou, ktorú Zmluva z Nice musela vyriešiť, bola dohoda o zložení inštitúcií EÚ po vstupe nových členských štátov. Rozšírilo sa hlasovanie kvalifikovanou väčšinou pri prijímaní právnych aktov na ďalšie oblasti, spolurozhodovacím postupom bolo možné prijať právne akty v ďalších nových oblastiach (napr. boj proti diskriminácii, súdna spolupráca v civilných veciach) a upravil sa systém hlasovania kvalifikovanou väčšinou. </w:t>
      </w:r>
    </w:p>
    <w:p w14:paraId="7C5723B3" w14:textId="77777777" w:rsidR="00AB372F" w:rsidRPr="00AB372F" w:rsidRDefault="00AB372F" w:rsidP="00AB372F">
      <w:pPr>
        <w:spacing w:line="276" w:lineRule="auto"/>
        <w:ind w:firstLine="426"/>
        <w:jc w:val="both"/>
      </w:pPr>
      <w:r w:rsidRPr="00AB372F">
        <w:t>Dňa 1.mája 2004 sa novými členmi Európskej únie stalo desať nových štátov prevažne zo strednej a východnej Európy (Slovensko, Poľsko, Maďarsko, Česká republika, Litva, Lotyšsko, Estónsko, Slovinsko, Malta, Cyprus). Z pätnástich členov tak vzrástol počet členov EÚ a európskych spoločenstiev na 25 členských štátov.</w:t>
      </w:r>
    </w:p>
    <w:p w14:paraId="360186EF" w14:textId="77777777" w:rsidR="00AB372F" w:rsidRPr="00AB372F" w:rsidRDefault="00AB372F" w:rsidP="00AB372F">
      <w:pPr>
        <w:spacing w:line="276" w:lineRule="auto"/>
      </w:pPr>
    </w:p>
    <w:p w14:paraId="73A250DE" w14:textId="77777777" w:rsidR="00AB372F" w:rsidRPr="00AB372F" w:rsidRDefault="00AB372F" w:rsidP="00AB372F">
      <w:pPr>
        <w:pStyle w:val="Nadpis2"/>
        <w:rPr>
          <w:rFonts w:ascii="Times New Roman" w:hAnsi="Times New Roman" w:cs="Times New Roman"/>
        </w:rPr>
      </w:pPr>
      <w:bookmarkStart w:id="18" w:name="_Toc359266612"/>
      <w:bookmarkStart w:id="19" w:name="_Toc515867912"/>
      <w:bookmarkStart w:id="20" w:name="_Toc521599051"/>
      <w:r w:rsidRPr="00AB372F">
        <w:rPr>
          <w:rFonts w:ascii="Times New Roman" w:hAnsi="Times New Roman" w:cs="Times New Roman"/>
        </w:rPr>
        <w:lastRenderedPageBreak/>
        <w:t>1.6 Lisabonská zmluva</w:t>
      </w:r>
      <w:bookmarkEnd w:id="18"/>
      <w:bookmarkEnd w:id="19"/>
      <w:bookmarkEnd w:id="20"/>
    </w:p>
    <w:p w14:paraId="350550E1" w14:textId="77777777" w:rsidR="00AB372F" w:rsidRPr="00AB372F" w:rsidRDefault="00AB372F" w:rsidP="00AB372F">
      <w:pPr>
        <w:spacing w:line="276" w:lineRule="auto"/>
      </w:pPr>
    </w:p>
    <w:p w14:paraId="27FCA7E0" w14:textId="77777777" w:rsidR="00AB372F" w:rsidRPr="00AB372F" w:rsidRDefault="00AB372F" w:rsidP="00AB372F">
      <w:pPr>
        <w:spacing w:line="276" w:lineRule="auto"/>
        <w:ind w:firstLine="426"/>
        <w:jc w:val="both"/>
      </w:pPr>
      <w:r w:rsidRPr="00AB372F">
        <w:t>V roku 2004 začali členské štáty Únie riešiť nové problémy, najmä rozdelenie právomocí medzi EÚ a členskými štátmi, postavenie Charty základných práv EÚ, úlohy národných parlamentov v EÚ a napokon otázku zjednodušenia zakladateľských zmlúv a ich reformných dokumentov. Snahy týchto rokovaní vyústili do schválenia tzv. Ústavy pre Európu. Tento dokument však nikdy nevstúpil do platnosti, pretože bol odmietnutý v referende vo Francúzsku a následne aj v Holandsku. Napriek tomuto neúspechu sa snahy o ďalšiu reformu zakladateľských zmlúv nezastavili a ďalej sa napredovalo v európskej integrácii.</w:t>
      </w:r>
    </w:p>
    <w:p w14:paraId="22C0F194" w14:textId="77777777" w:rsidR="00AB372F" w:rsidRPr="00AB372F" w:rsidRDefault="00AB372F" w:rsidP="00AB372F">
      <w:pPr>
        <w:spacing w:line="276" w:lineRule="auto"/>
        <w:ind w:firstLine="426"/>
        <w:jc w:val="both"/>
      </w:pPr>
      <w:r w:rsidRPr="00AB372F">
        <w:t>Dňa 1.januára 2007 sa novými členskými štátmi EÚ stalo Rumunsko a Bulharsko. Už 27 členských štátov dňa 13.decembra 2007 v Lisabone podpísalo novú reformnú zmluvu, ktorá vstúpila do najnovších dejín európskej integrácie pod názvom Lisabonská zmluva. Pôvodne mala vstúpiť do platnosti 1.januára 2009, ale do konca roka 2008 sa nepodarilo ukončiť jej ratifikačný proces vo všetkých členských štátoch. Prvé írske referendum definitívne odmietlo Lisabonskú zmluvu a s jej ratifikáciou dlho váhalo aj Švédsko a Česká republika. Dňa 16.októbra 2009 podpísala írska prezidentka Lisabonskú zmluvu potom, ako v druhom kole referenda bola táto zmluva prijatá írskymi občanmi. Poslednou krajinou, ktorá dovŕšila ratifikačný proces, bola Česká republika. Dňa 3.novembra 2009 podpísal Lisabonskú zmluvu aj český prezident potom, ako Ústavný súd ČR potvrdil, že nie je v rozpore s Ústavou Českej republiky. Lisabonská zmluva vstúpila napokon do platnosti až 1.decembra 2009.</w:t>
      </w:r>
    </w:p>
    <w:p w14:paraId="5F006CE4" w14:textId="77777777" w:rsidR="00AB372F" w:rsidRPr="00AB372F" w:rsidRDefault="00AB372F" w:rsidP="00AB372F">
      <w:pPr>
        <w:spacing w:line="276" w:lineRule="auto"/>
        <w:ind w:firstLine="426"/>
        <w:jc w:val="both"/>
      </w:pPr>
      <w:r w:rsidRPr="00AB372F">
        <w:t xml:space="preserve">Lisabonská zmluva priniesla zásadné zmeny nielen v zložení a fungovaní európskych inštitúcií, ale aj v samotnom zložení doterajšej zaužívanej pilierovej štruktúry EÚ. Lisabonská zmluva je len ďalšou reformou pôvodných zakladateľských zmlúv, nenahrádza tieto zmluvy, tak ako to mala urobiť Ústava pre Európu. Európska únia sa podľa Lisabonskej zmluvy stáva právnym nástupcom Európskeho spoločenstva (pôvodného Európskeho hospodárskeho spoločenstva) a Zmluvu o Európskom spoločenstve premenováva na Zmluvu o fungovaní EÚ. Zmluva o EURATOM naďalej zostáva v platnosti a tým zostáva zachovaná aj právna subjektivita tohto už posledného existujúceho európskeho spoločenstva. Európska únia je teda založená na Zmluve o Európskej únii a na Zmluve o fungovaní Európskej únie. </w:t>
      </w:r>
    </w:p>
    <w:p w14:paraId="2E5E5486" w14:textId="77777777" w:rsidR="00AB372F" w:rsidRPr="00AB372F" w:rsidRDefault="00AB372F" w:rsidP="00AB372F">
      <w:pPr>
        <w:spacing w:line="276" w:lineRule="auto"/>
        <w:ind w:firstLine="426"/>
        <w:jc w:val="both"/>
      </w:pPr>
      <w:r w:rsidRPr="00AB372F">
        <w:t>Európska únia nahrádza Európske spoločenstvo a je jeho právnym nástupcom, a tak po prvýkrát  bola Európskej únii priznaná právna subjektivita. Do prijatia Lisabonskej zmluvy bolo otázne, či je EÚ medzinárodná organizácia, ktorá môže vystupovať ako subjekt medzinárodného práva, uzatvárať zmluvy s inými štátmi a medzinárodnými organizáciami. Toto oprávnenie mali dovtedy len európske spoločenstvá, t.j. EÚ mohla uzatvárať medzinárodné zmluvy v 1. pilieri, ale bolo otázne, či má toto oprávnenie aj v ďalších dvoch pilieroch. Lisabonská zmluva tento problém priznaním právnej subjektivity EÚ definitívne odstránila.</w:t>
      </w:r>
    </w:p>
    <w:p w14:paraId="73DD6F85" w14:textId="77777777" w:rsidR="00AB372F" w:rsidRPr="00AB372F" w:rsidRDefault="00AB372F" w:rsidP="00AB372F">
      <w:pPr>
        <w:spacing w:line="276" w:lineRule="auto"/>
        <w:ind w:firstLine="426"/>
        <w:jc w:val="both"/>
      </w:pPr>
      <w:r w:rsidRPr="00AB372F">
        <w:t xml:space="preserve">Lisabonská zmluva problematiku bývalého tretieho piliera, t.j. policajnú a justičnú spoluprácu v trestných veciach zlúčila s problematikou upravenou dovtedy v prvom pilieri. Nemožno však definitívne tvrdiť, že pilierové usporiadanie EÚ zaniká, nakoľko spolupráca vo veciach spoločnej zahraničnej a bezpečnostnej politiky v  bývalom druhom pilieri sa nemení. Naďalej pretrváva spolupráca medzi členskými štátmi na medzivládnej úrovni, ktorá sa viac podobá na spoluprácu medzinárodnú ako supranacionálnu (nadnárodnú). </w:t>
      </w:r>
    </w:p>
    <w:p w14:paraId="110C2F2A" w14:textId="77777777" w:rsidR="00AB372F" w:rsidRPr="00AB372F" w:rsidRDefault="00AB372F" w:rsidP="00AB372F">
      <w:pPr>
        <w:spacing w:line="276" w:lineRule="auto"/>
        <w:ind w:firstLine="426"/>
        <w:jc w:val="both"/>
      </w:pPr>
      <w:r w:rsidRPr="00AB372F">
        <w:lastRenderedPageBreak/>
        <w:t>Zlúčením prvého a tretieho piliera sa vytvorila samostatná politika EÚ pod názvom priestor slobody, bezpečnosti a spravodlivosti, upravený v piatej hlave ZFEÚ. Obsahuje v piatich kapitolách rozpracované štyri základné skupiny politík v tejto oblasti a to:</w:t>
      </w:r>
    </w:p>
    <w:p w14:paraId="1B7A1CD3" w14:textId="77777777" w:rsidR="00AB372F" w:rsidRPr="00AB372F" w:rsidRDefault="00AB372F" w:rsidP="00AB372F">
      <w:pPr>
        <w:numPr>
          <w:ilvl w:val="0"/>
          <w:numId w:val="2"/>
        </w:numPr>
        <w:spacing w:line="276" w:lineRule="auto"/>
        <w:contextualSpacing/>
        <w:jc w:val="both"/>
      </w:pPr>
      <w:r w:rsidRPr="00AB372F">
        <w:t xml:space="preserve">politiky týkajúce sa hraničných kontrol, azylu a prisťahovalectva: </w:t>
      </w:r>
    </w:p>
    <w:p w14:paraId="36B097D4" w14:textId="77777777" w:rsidR="00AB372F" w:rsidRPr="00AB372F" w:rsidRDefault="00AB372F" w:rsidP="00AB372F">
      <w:pPr>
        <w:numPr>
          <w:ilvl w:val="1"/>
          <w:numId w:val="2"/>
        </w:numPr>
        <w:spacing w:line="276" w:lineRule="auto"/>
        <w:contextualSpacing/>
        <w:jc w:val="both"/>
      </w:pPr>
      <w:r w:rsidRPr="00AB372F">
        <w:t>cieľom politiky hraničných kontrol je zabezpečiť odstránenie akýchkoľvek kontrol osôb na vnútorných hraniciach členských štátov bez ohľadu na štátnu príslušnosť a zároveň zabezpečiť kontrolu osôb, monitorovanie prekračovania vonkajších hraníc;</w:t>
      </w:r>
    </w:p>
    <w:p w14:paraId="2FBD7D4D" w14:textId="77777777" w:rsidR="00AB372F" w:rsidRPr="00AB372F" w:rsidRDefault="00AB372F" w:rsidP="00AB372F">
      <w:pPr>
        <w:numPr>
          <w:ilvl w:val="1"/>
          <w:numId w:val="2"/>
        </w:numPr>
        <w:spacing w:line="276" w:lineRule="auto"/>
        <w:contextualSpacing/>
        <w:jc w:val="both"/>
      </w:pPr>
      <w:r w:rsidRPr="00AB372F">
        <w:t xml:space="preserve">cieľom azylovej politiky je poskytnúť azyl, doplnkovú ochranu a dočasnú ochranu v súlade so Ženevským dohovorom 1951 a Protokolom 1967 o právnom postavení utečencov;  </w:t>
      </w:r>
    </w:p>
    <w:p w14:paraId="137CD249" w14:textId="77777777" w:rsidR="00AB372F" w:rsidRPr="00AB372F" w:rsidRDefault="00AB372F" w:rsidP="00AB372F">
      <w:pPr>
        <w:numPr>
          <w:ilvl w:val="1"/>
          <w:numId w:val="2"/>
        </w:numPr>
        <w:spacing w:line="276" w:lineRule="auto"/>
        <w:contextualSpacing/>
        <w:jc w:val="both"/>
      </w:pPr>
      <w:r w:rsidRPr="00AB372F">
        <w:t xml:space="preserve">cieľom imigračnej politiky je zabezpečiť účinný manažment imigrácie, spravodlivé zaobchádzanie so štátnymi príslušníkmi tretích krajín, boj proti nelegálnej migrácii a obchodovaniu s ľuďmi. </w:t>
      </w:r>
    </w:p>
    <w:p w14:paraId="369BEFCB" w14:textId="77777777" w:rsidR="00AB372F" w:rsidRPr="00AB372F" w:rsidRDefault="00AB372F" w:rsidP="00AB372F">
      <w:pPr>
        <w:numPr>
          <w:ilvl w:val="0"/>
          <w:numId w:val="3"/>
        </w:numPr>
        <w:spacing w:line="276" w:lineRule="auto"/>
        <w:contextualSpacing/>
        <w:jc w:val="both"/>
      </w:pPr>
      <w:r w:rsidRPr="00AB372F">
        <w:t xml:space="preserve">justičnú spoluprácu v občianskych veciach, ktoré majú cezhraničné dôsledky na základe zásady vzájomného uznávania súdnych a mimosúdnych rozhodnutí. </w:t>
      </w:r>
    </w:p>
    <w:p w14:paraId="174B1E35" w14:textId="77777777" w:rsidR="00AB372F" w:rsidRPr="00AB372F" w:rsidRDefault="00AB372F" w:rsidP="00AB372F">
      <w:pPr>
        <w:numPr>
          <w:ilvl w:val="0"/>
          <w:numId w:val="3"/>
        </w:numPr>
        <w:spacing w:line="276" w:lineRule="auto"/>
        <w:contextualSpacing/>
        <w:jc w:val="both"/>
      </w:pPr>
      <w:r w:rsidRPr="00AB372F">
        <w:t xml:space="preserve">justičnú spoluprácu v trestných veciach, ktorá je založená na zásade vzájomného uznávania rozsudkov a iných justičných rozhodnutí a zahŕňa aproximáciu právnych noriem v oblasti trestného práva. Rada je oprávnená prijať riadnym legislatívnym postupom okrem iného aj smernice vymedzujúce trestné činy a tresty za ne v oblasti obzvlášť závažných trestných cezhraničných činov, najmä terorizmus, obchodovanie s ľuďmi, sexuálne zneužívanie žien a detí, nedovolené obchodovanie s drogami, nedovolené obchodovanie so zbraňami, legalizácia príjmu trestnej činnosti, korupcia, falšovanie platobných prostriedkov, počítačová kriminalita a organizovaná trestná činnosť. Avšak v prípade smerníc môže členský štát, ak sa domnieva, že by ňou mohli byť ohrozené základné princípy jeho trestného súdnictva, žiadať, aby o smernici rokovala Európska rada. Ak sa konsenzus dosiahne v Európskej rade, pozastavený riadny legislatívny postup sa obnoví, inak smernica nebude prijatá. Ak sa však nájde aspoň deväť členských štátov, ktoré budú chcieť v tejto oblasti nadviazať posilnenú spoluprácu, stačí, aby to oznámili Európskemu parlamentu, Rade a Komisii a povolenie sa považuje za udelené. EUROJUST má hlavnú úlohu posilňovať a podporovať spoluprácu medzi vnútroštátnymi orgánmi činnými v trestnom konaní zodpovednými za vyšetrovanie a stíhanie závažnej trestnej činnosti s cezhraničným prvkom. Ak Európsky parlament udelí súhlas a Rada jednomyseľne prijme nariadenie o európskej prokuratúre, stane sa z </w:t>
      </w:r>
      <w:proofErr w:type="spellStart"/>
      <w:r w:rsidRPr="00AB372F">
        <w:t>Eurojustu</w:t>
      </w:r>
      <w:proofErr w:type="spellEnd"/>
      <w:r w:rsidRPr="00AB372F">
        <w:t xml:space="preserve"> Európska prokuratúra. Európska prokuratúra spolu s EUROPOLOM bude zodpovedať za vyšetrovanie trestných činov a za trestné stíhanie ich páchateľov spôsobujúcich finančnú ujmu EÚ a za podanie obžaloby. Pred vnútroštátnymi súdmi by príslušník Európskej prokuratúry vystupoval v postavení prokurátora. </w:t>
      </w:r>
    </w:p>
    <w:p w14:paraId="37D29A77" w14:textId="77777777" w:rsidR="00AB372F" w:rsidRPr="00AB372F" w:rsidRDefault="00AB372F" w:rsidP="00AB372F">
      <w:pPr>
        <w:numPr>
          <w:ilvl w:val="0"/>
          <w:numId w:val="3"/>
        </w:numPr>
        <w:spacing w:line="276" w:lineRule="auto"/>
        <w:contextualSpacing/>
        <w:jc w:val="both"/>
      </w:pPr>
      <w:r w:rsidRPr="00AB372F">
        <w:t xml:space="preserve">policajná spolupráca medzi príslušnými orgánmi členských štátov, najmä polície, colných orgánov a iných orgánov, ktoré sú špecializované na vyšetrovanie trestných činov.  </w:t>
      </w:r>
    </w:p>
    <w:p w14:paraId="257C9E73" w14:textId="77777777" w:rsidR="00AB372F" w:rsidRPr="00AB372F" w:rsidRDefault="00AB372F" w:rsidP="00AB372F">
      <w:pPr>
        <w:spacing w:line="276" w:lineRule="auto"/>
        <w:ind w:firstLine="426"/>
        <w:jc w:val="both"/>
      </w:pPr>
      <w:r w:rsidRPr="00AB372F">
        <w:t xml:space="preserve">Charta základných práv EÚ sa stala aj právne záväzným dokumentom, v súčasnosti je jedným z prameňov primárneho práva Európskej únie. Jej význam spočíva v tom, že upravuje </w:t>
      </w:r>
      <w:r w:rsidRPr="00AB372F">
        <w:lastRenderedPageBreak/>
        <w:t>ľudské práva nielen prvej a druhej generácie, ako je tomu v medzinárodných dokumentoch OSN, Rady Európy, ale aj aktuálne nové problémy týkajúce sa ľudských práv, napr. ochrana osobných údajov, právo na informácie, práva pracovníkov, ochrana životného prostredia, ochrana spotrebiteľa a ďalšie práva označované ako ľudské práva tretej generácie. Únia môže podľa ustanovení Lisabonskej zmluvy pristúpiť k Dohovoru o ochrane ľudských práv a základných slobôd a stať sa plnohodnotným členom Rady Európy.</w:t>
      </w:r>
      <w:r w:rsidRPr="00AB372F">
        <w:rPr>
          <w:vertAlign w:val="superscript"/>
        </w:rPr>
        <w:footnoteReference w:id="6"/>
      </w:r>
    </w:p>
    <w:p w14:paraId="38D765BD" w14:textId="77777777" w:rsidR="00AB372F" w:rsidRPr="00AB372F" w:rsidRDefault="00AB372F" w:rsidP="00AB372F">
      <w:pPr>
        <w:spacing w:line="276" w:lineRule="auto"/>
        <w:ind w:firstLine="426"/>
        <w:jc w:val="both"/>
      </w:pPr>
      <w:r w:rsidRPr="00AB372F">
        <w:t xml:space="preserve">Lisabonská zmluva zaviedla aj podstatné inštitucionálne zmeny. Posilnila sa právomoc Európskeho parlamentu, ktorý sa stáva rovnocenným partnerom Rady v porovnaní so situáciou pred Jednotným európskym aktom, kedy mal len konzultačnú právomoc voči Rade a Rada na jeho názory mohla, ale nemusela prihliadať. V súčasnosti sa Európsky parlament podieľa na prijímaní právnych aktov Únie spolu s Radou v tzv. riadnom legislatívnom procese (ide o bývalý spolurozhodovací postup). </w:t>
      </w:r>
    </w:p>
    <w:p w14:paraId="3A66D3D6" w14:textId="77777777" w:rsidR="00AB372F" w:rsidRPr="00AB372F" w:rsidRDefault="00AB372F" w:rsidP="00AB372F">
      <w:pPr>
        <w:spacing w:line="276" w:lineRule="auto"/>
        <w:ind w:firstLine="426"/>
        <w:jc w:val="both"/>
      </w:pPr>
      <w:r w:rsidRPr="00AB372F">
        <w:t xml:space="preserve">Národným parlamentom sa priznalo právo kontrolovať, či je zo strany európskych inštitúcií najmä Rady a Európskeho parlamentu rešpektovaný princíp subsidiarity. Princíp subsidiarity znamená, že inštitúcie EÚ môžu konať len vtedy v oblastiach, ktoré nepatria do ich výlučnej právomoci, ak daný cieľ nemôže dosiahnuť lepšie členský štát sám. </w:t>
      </w:r>
    </w:p>
    <w:p w14:paraId="15D979DC" w14:textId="77777777" w:rsidR="00AB372F" w:rsidRPr="00AB372F" w:rsidRDefault="00AB372F" w:rsidP="00AB372F">
      <w:pPr>
        <w:spacing w:line="276" w:lineRule="auto"/>
        <w:ind w:firstLine="426"/>
        <w:jc w:val="both"/>
      </w:pPr>
      <w:r w:rsidRPr="00AB372F">
        <w:t xml:space="preserve">Návrhy právnych aktov pripravovala Európska komisia z podnetu vlastného, z podnetu Rady alebo Európskeho parlamentu. V súčasnosti môže dať podnet Komisii aj milión občanov EÚ z významného počtu členských štátov. Podľa čl. 11 ZEÚ a čl. 24 ZFEÚ Rada s Európskym parlamentom rozhodne o tomto počte. Stalo sa tak nariadením Európskeho parlamentu a Rady č. 211/2011 o iniciatíve občanov, podľa ktorého sa za významný počet členských štátov považuje ¼ počtu členských štátov. Vo veciach justičnej a policajnej spolupráce v trestných veciach sa právne akty prijímajú na návrh Komisie alebo na základe iniciatívy  ¼ členských štátov. </w:t>
      </w:r>
    </w:p>
    <w:p w14:paraId="53249A7A" w14:textId="77777777" w:rsidR="00AB372F" w:rsidRPr="00AB372F" w:rsidRDefault="00AB372F" w:rsidP="00AB372F">
      <w:pPr>
        <w:spacing w:line="276" w:lineRule="auto"/>
        <w:ind w:firstLine="426"/>
        <w:jc w:val="both"/>
      </w:pPr>
      <w:r w:rsidRPr="00AB372F">
        <w:t xml:space="preserve">Lisabonská zmluva zavádza aj nový inštitút a to dobrovoľné vystúpenie členského štátu z Európskej únie. Umožňuje to čl. 50 ZEÚ, podľa ktorého členský štát, ktorý sa rozhodne vystúpiť z EÚ, oznámi svoj úmysel Európskej rade. Európska rada prijme usmernenia, podľa ktorých následne EÚ dojedná a uzavrie s týmto štátom dohodu o spôsobe jeho vystúpenia s ohľadom na jeho budúce vzťahy k Únii. Túto dohodu uzatvára Rada, ktorá sa uznáša kvalifikovanou väčšinou po udelení súhlasu Európskeho parlamentu. </w:t>
      </w:r>
    </w:p>
    <w:p w14:paraId="3E4724F2" w14:textId="77777777" w:rsidR="00AB372F" w:rsidRPr="00AB372F" w:rsidRDefault="00AB372F" w:rsidP="00AB372F">
      <w:pPr>
        <w:spacing w:line="276" w:lineRule="auto"/>
        <w:ind w:firstLine="426"/>
        <w:jc w:val="both"/>
      </w:pPr>
      <w:r w:rsidRPr="00AB372F">
        <w:t>Lisabonská zmluva vytvára funkciu splnomocnenca Únie pre zahraničné veci a bezpečnostnú politiku, ktorú bude vykonávať podpredseda Komisie. Táto osoba zároveň predsedá Rade pre zahraničné veci.</w:t>
      </w:r>
    </w:p>
    <w:p w14:paraId="4A611D99" w14:textId="77777777" w:rsidR="00AB372F" w:rsidRPr="00AB372F" w:rsidRDefault="00AB372F" w:rsidP="00AB372F">
      <w:pPr>
        <w:spacing w:line="276" w:lineRule="auto"/>
        <w:ind w:firstLine="426"/>
        <w:jc w:val="both"/>
      </w:pPr>
      <w:r w:rsidRPr="00AB372F">
        <w:t xml:space="preserve">Vytvára sa funkcia predsedu Európskej rady voleného na dva a polročné funkčné obdobie. </w:t>
      </w:r>
    </w:p>
    <w:p w14:paraId="0AB94D94" w14:textId="77777777" w:rsidR="00AB372F" w:rsidRPr="00AB372F" w:rsidRDefault="00AB372F" w:rsidP="00AB372F">
      <w:pPr>
        <w:spacing w:line="276" w:lineRule="auto"/>
        <w:ind w:firstLine="426"/>
        <w:jc w:val="both"/>
      </w:pPr>
      <w:r w:rsidRPr="00AB372F">
        <w:lastRenderedPageBreak/>
        <w:t>Lisabonská zmluva zaviedla aj nové (explicitné) vymedzenie právomocí medzi EÚ a členskými štátmi.</w:t>
      </w:r>
      <w:r w:rsidRPr="00AB372F">
        <w:rPr>
          <w:vertAlign w:val="superscript"/>
        </w:rPr>
        <w:footnoteReference w:id="7"/>
      </w:r>
      <w:r w:rsidRPr="00AB372F">
        <w:t xml:space="preserve"> Dovtedy právomoci EÚ boli vyjadrené iba implicitne v zmluvách primárneho práva.  </w:t>
      </w:r>
    </w:p>
    <w:p w14:paraId="01E1D5D3" w14:textId="77777777" w:rsidR="00AB372F" w:rsidRPr="00AB372F" w:rsidRDefault="00AB372F" w:rsidP="00AB372F">
      <w:pPr>
        <w:spacing w:line="276" w:lineRule="auto"/>
        <w:ind w:firstLine="426"/>
        <w:jc w:val="both"/>
      </w:pPr>
      <w:r w:rsidRPr="00AB372F">
        <w:t xml:space="preserve">Opätovne boli prečíslované články zakladateľských zmlúv, v dôsledku čoho je potrebné si uvedomovať, z ktorého obdobia pochádza dokument, ktorý odkazuje na príslušný článok primárneho práva. Tak napríklad harmonizačné predpisy EÚ a Európskych spoločenstiev sa do roku 1999 prijímali na základe článku 100 Zmluvy o E(H)S, od 1.5.1999 do 1.12.2009 na základe čl. 94 Zmluvy o Európskom spoločenstve a od 1.12.2009 na základe článku 115 Zmluvy o fungovaní Európskej únie.   </w:t>
      </w:r>
    </w:p>
    <w:p w14:paraId="4FD4B5D3" w14:textId="77777777" w:rsidR="00AB372F" w:rsidRPr="00AB372F" w:rsidRDefault="00AB372F" w:rsidP="00AB372F">
      <w:pPr>
        <w:spacing w:line="276" w:lineRule="auto"/>
        <w:ind w:firstLine="426"/>
        <w:jc w:val="both"/>
      </w:pPr>
    </w:p>
    <w:p w14:paraId="2E504602" w14:textId="77777777" w:rsidR="00AB372F" w:rsidRPr="00AB372F" w:rsidRDefault="00AB372F" w:rsidP="00AB372F">
      <w:pPr>
        <w:keepNext/>
        <w:spacing w:line="276" w:lineRule="auto"/>
        <w:ind w:left="720"/>
        <w:outlineLvl w:val="0"/>
        <w:rPr>
          <w:b/>
          <w:bCs/>
          <w:kern w:val="32"/>
          <w:sz w:val="36"/>
          <w:szCs w:val="36"/>
        </w:rPr>
      </w:pPr>
    </w:p>
    <w:p w14:paraId="589A89DA" w14:textId="77777777" w:rsidR="00EA16B1" w:rsidRPr="00AB372F" w:rsidRDefault="00EA16B1"/>
    <w:sectPr w:rsidR="00EA16B1" w:rsidRPr="00AB372F" w:rsidSect="00EA16B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58D48" w14:textId="77777777" w:rsidR="00317594" w:rsidRDefault="00317594" w:rsidP="00AB372F">
      <w:r>
        <w:separator/>
      </w:r>
    </w:p>
  </w:endnote>
  <w:endnote w:type="continuationSeparator" w:id="0">
    <w:p w14:paraId="3290813E" w14:textId="77777777" w:rsidR="00317594" w:rsidRDefault="00317594" w:rsidP="00AB37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3292F" w14:textId="77777777" w:rsidR="00317594" w:rsidRDefault="00317594" w:rsidP="00AB372F">
      <w:r>
        <w:separator/>
      </w:r>
    </w:p>
  </w:footnote>
  <w:footnote w:type="continuationSeparator" w:id="0">
    <w:p w14:paraId="66F55AA2" w14:textId="77777777" w:rsidR="00317594" w:rsidRDefault="00317594" w:rsidP="00AB372F">
      <w:r>
        <w:continuationSeparator/>
      </w:r>
    </w:p>
  </w:footnote>
  <w:footnote w:id="1">
    <w:p w14:paraId="509DD2F0" w14:textId="77777777" w:rsidR="00AB372F" w:rsidRDefault="00AB372F" w:rsidP="00AB372F">
      <w:pPr>
        <w:pStyle w:val="Textpoznmkypodiarou"/>
      </w:pPr>
      <w:r>
        <w:rPr>
          <w:rStyle w:val="Odkaznapoznmkupodiarou"/>
        </w:rPr>
        <w:footnoteRef/>
      </w:r>
      <w:r>
        <w:t xml:space="preserve"> v rôznych publikáciách sa uvádzajú rôzny počet sudcov; vychádzame z publikácie Súdny dvor Európskych spoločenstiev: historické medzníky, budovy a symboly. Luxemburg: Úrad pre publikácie, 2007.  </w:t>
      </w:r>
    </w:p>
  </w:footnote>
  <w:footnote w:id="2">
    <w:p w14:paraId="51B22331" w14:textId="77777777" w:rsidR="00AB372F" w:rsidRDefault="00AB372F" w:rsidP="00AB372F">
      <w:pPr>
        <w:pStyle w:val="Textpoznmkypodiarou"/>
        <w:jc w:val="both"/>
      </w:pPr>
      <w:r>
        <w:rPr>
          <w:rStyle w:val="Odkaznapoznmkupodiarou"/>
        </w:rPr>
        <w:footnoteRef/>
      </w:r>
      <w:r>
        <w:t xml:space="preserve">napr. Bruselský dohovor </w:t>
      </w:r>
      <w:r w:rsidRPr="001E44DB">
        <w:t>o právomoci a výkone rozsudkov v občianskych a obchodných veciach zo dňa  27.9. 1968</w:t>
      </w:r>
      <w:r>
        <w:t xml:space="preserve"> bol nahradený na území členských štátov s výnimkou Dánska nariadením </w:t>
      </w:r>
      <w:r w:rsidRPr="001E44DB">
        <w:t>Rady (ES) č. 44/2001 z 22. decembra 2000 o právomoci a o uznávaní a výkone rozsudkov v občianskych a obchodných veciach</w:t>
      </w:r>
    </w:p>
  </w:footnote>
  <w:footnote w:id="3">
    <w:p w14:paraId="39FCFF1E" w14:textId="77777777" w:rsidR="00AB372F" w:rsidRDefault="00AB372F" w:rsidP="00AB372F">
      <w:pPr>
        <w:pStyle w:val="Textpoznmkypodiarou"/>
        <w:jc w:val="both"/>
      </w:pPr>
      <w:r>
        <w:rPr>
          <w:rStyle w:val="Odkaznapoznmkupodiarou"/>
        </w:rPr>
        <w:footnoteRef/>
      </w:r>
      <w:r>
        <w:t>pozri napr. n</w:t>
      </w:r>
      <w:r w:rsidRPr="00626A5A">
        <w:t>ariadením Európskeho parlamentu a Rady (ES) č. 1987/2006 z 20. decembra 2006 o zriadení, prevádzke a využívaní Schengenského informačného systému druhej generácie (SIS II)</w:t>
      </w:r>
      <w:r>
        <w:t xml:space="preserve"> a r</w:t>
      </w:r>
      <w:r w:rsidRPr="00626A5A">
        <w:t>ozhodnutím Rady 2007/533/SVV z 12. júna 2007 o zriadení, prevádzke a využívaní Schengenského informačného systému druhej generácie (SIS II).</w:t>
      </w:r>
    </w:p>
  </w:footnote>
  <w:footnote w:id="4">
    <w:p w14:paraId="39D40674" w14:textId="77777777" w:rsidR="00AB372F" w:rsidRDefault="00AB372F" w:rsidP="00AB372F">
      <w:pPr>
        <w:pStyle w:val="Textpoznmkypodiarou"/>
      </w:pPr>
      <w:r>
        <w:rPr>
          <w:rStyle w:val="Odkaznapoznmkupodiarou"/>
        </w:rPr>
        <w:footnoteRef/>
      </w:r>
      <w:r>
        <w:t xml:space="preserve">a dnes je to už článok 115 ZFEÚ, nakoľko Lisabonská zmluva priniesla druhé prečíslovanie. Z tohto dôvodu orientácia v primárnom práve EÚ nie je jednoduchá. </w:t>
      </w:r>
    </w:p>
  </w:footnote>
  <w:footnote w:id="5">
    <w:p w14:paraId="160860D7" w14:textId="77777777" w:rsidR="00AB372F" w:rsidRDefault="00AB372F" w:rsidP="00AB372F">
      <w:pPr>
        <w:pStyle w:val="Textpoznmkypodiarou"/>
        <w:jc w:val="both"/>
      </w:pPr>
      <w:r>
        <w:rPr>
          <w:rStyle w:val="Odkaznapoznmkupodiarou"/>
        </w:rPr>
        <w:footnoteRef/>
      </w:r>
      <w:r>
        <w:t>Tento súd zanikol v roku 2016 a jeho právomoci a úlohy prevzal Všeobecný súd (pozri nariadenie Európskeho parlamentu a Rady 2016/1192 zo 6.júla 2016 o prenesení právomoci rozhodovať v prvom stupni v sporoch medzi Európskou úniou a jej zamestnancami na Všeobecný súd (Úradný vestník Európskej únie L200/137).</w:t>
      </w:r>
    </w:p>
  </w:footnote>
  <w:footnote w:id="6">
    <w:p w14:paraId="5A77E3A2" w14:textId="77777777" w:rsidR="00AB372F" w:rsidRDefault="00AB372F" w:rsidP="00AB372F">
      <w:pPr>
        <w:pStyle w:val="Textpoznmkypodiarou"/>
        <w:jc w:val="both"/>
      </w:pPr>
      <w:r w:rsidRPr="00BC02A7">
        <w:rPr>
          <w:rStyle w:val="Odkaznapoznmkupodiarou"/>
        </w:rPr>
        <w:footnoteRef/>
      </w:r>
      <w:r w:rsidRPr="00BC02A7">
        <w:t>Na základe odporúčanie Komisie, Rada prijala rozhodnutie dňa 4.6.2010 o začatí rokovaní o prístupe EÚ k  Dohovoru o ochrane ľudských práv a základných slobôd z Ríma 1950. Dňa 5.4.2013 vyústili rokovania do prijatia návrhu dohody o pristúpení EÚ k Dohovoru o ochrane ľudských práv a základných slobôd z Ríma 1950. Dňa 4.7.2013 požiadala Komisia Súdny dvor o vydanie stanoviska o súlade návrhu tejto dohody s právom EU v zmysle č. 218 ods. 11 ZFEÚ. Súdny dvor vo svojom stanovisku vydanom  18.12.2014 vyjadril nesúlad predmetnej dohody s právom EÚ (pozri Súdny dvor Európskej únie. Tlačové komuniké č. 180/14, 18. decembra 2014. Stanovisko 2/13).</w:t>
      </w:r>
    </w:p>
  </w:footnote>
  <w:footnote w:id="7">
    <w:p w14:paraId="44649B4A" w14:textId="77777777" w:rsidR="00AB372F" w:rsidRDefault="00AB372F" w:rsidP="00AB372F">
      <w:pPr>
        <w:pStyle w:val="Textpoznmkypodiarou"/>
      </w:pPr>
      <w:r>
        <w:rPr>
          <w:rStyle w:val="Odkaznapoznmkupodiarou"/>
        </w:rPr>
        <w:footnoteRef/>
      </w:r>
      <w:r>
        <w:t>pozri kapitolu Európska únia, jej ciele a právomoci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4D14E9"/>
    <w:multiLevelType w:val="hybridMultilevel"/>
    <w:tmpl w:val="0C1835EC"/>
    <w:lvl w:ilvl="0" w:tplc="041B0001">
      <w:start w:val="1"/>
      <w:numFmt w:val="bullet"/>
      <w:lvlText w:val=""/>
      <w:lvlJc w:val="left"/>
      <w:pPr>
        <w:ind w:left="720" w:hanging="360"/>
      </w:pPr>
      <w:rPr>
        <w:rFonts w:ascii="Symbol" w:hAnsi="Symbol" w:hint="default"/>
      </w:rPr>
    </w:lvl>
    <w:lvl w:ilvl="1" w:tplc="041B0005">
      <w:start w:val="1"/>
      <w:numFmt w:val="bullet"/>
      <w:lvlText w:val=""/>
      <w:lvlJc w:val="left"/>
      <w:pPr>
        <w:ind w:left="1440" w:hanging="360"/>
      </w:pPr>
      <w:rPr>
        <w:rFonts w:ascii="Wingdings" w:hAnsi="Wingding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5DD344A0"/>
    <w:multiLevelType w:val="multilevel"/>
    <w:tmpl w:val="57605C40"/>
    <w:lvl w:ilvl="0">
      <w:start w:val="1"/>
      <w:numFmt w:val="decimal"/>
      <w:lvlText w:val="%1."/>
      <w:lvlJc w:val="left"/>
      <w:pPr>
        <w:ind w:left="720" w:hanging="360"/>
      </w:pPr>
      <w:rPr>
        <w:rFonts w:ascii="Times New Roman" w:hAnsi="Times New Roman" w:cs="Times New Roman" w:hint="default"/>
        <w:sz w:val="36"/>
      </w:rPr>
    </w:lvl>
    <w:lvl w:ilvl="1">
      <w:start w:val="3"/>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7ED624E8"/>
    <w:multiLevelType w:val="hybridMultilevel"/>
    <w:tmpl w:val="286E7A7C"/>
    <w:lvl w:ilvl="0" w:tplc="041B0001">
      <w:start w:val="1"/>
      <w:numFmt w:val="bullet"/>
      <w:lvlText w:val=""/>
      <w:lvlJc w:val="left"/>
      <w:pPr>
        <w:ind w:left="720" w:hanging="360"/>
      </w:pPr>
      <w:rPr>
        <w:rFonts w:ascii="Symbol" w:hAnsi="Symbol"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85805867">
    <w:abstractNumId w:val="1"/>
  </w:num>
  <w:num w:numId="2" w16cid:durableId="2089423980">
    <w:abstractNumId w:val="0"/>
  </w:num>
  <w:num w:numId="3" w16cid:durableId="9810408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72F"/>
    <w:rsid w:val="00001BE2"/>
    <w:rsid w:val="00001E34"/>
    <w:rsid w:val="0000256A"/>
    <w:rsid w:val="00002668"/>
    <w:rsid w:val="00002888"/>
    <w:rsid w:val="0000472E"/>
    <w:rsid w:val="00005FE2"/>
    <w:rsid w:val="00007327"/>
    <w:rsid w:val="000130A1"/>
    <w:rsid w:val="00013AB6"/>
    <w:rsid w:val="000153D0"/>
    <w:rsid w:val="00015EB0"/>
    <w:rsid w:val="00016A79"/>
    <w:rsid w:val="00016C90"/>
    <w:rsid w:val="00020273"/>
    <w:rsid w:val="000207A0"/>
    <w:rsid w:val="00022625"/>
    <w:rsid w:val="000227C9"/>
    <w:rsid w:val="000229E7"/>
    <w:rsid w:val="00022DA7"/>
    <w:rsid w:val="000242AF"/>
    <w:rsid w:val="00024C5A"/>
    <w:rsid w:val="0002519A"/>
    <w:rsid w:val="00025F7E"/>
    <w:rsid w:val="00026343"/>
    <w:rsid w:val="00030183"/>
    <w:rsid w:val="00030765"/>
    <w:rsid w:val="00030B6D"/>
    <w:rsid w:val="00031DBF"/>
    <w:rsid w:val="00031EED"/>
    <w:rsid w:val="00036373"/>
    <w:rsid w:val="00037B7F"/>
    <w:rsid w:val="000404FD"/>
    <w:rsid w:val="00044CC6"/>
    <w:rsid w:val="00046B86"/>
    <w:rsid w:val="00046FEE"/>
    <w:rsid w:val="00047608"/>
    <w:rsid w:val="000510F0"/>
    <w:rsid w:val="00051163"/>
    <w:rsid w:val="000523F4"/>
    <w:rsid w:val="000543F6"/>
    <w:rsid w:val="000549F4"/>
    <w:rsid w:val="00056A44"/>
    <w:rsid w:val="00056DC8"/>
    <w:rsid w:val="00060813"/>
    <w:rsid w:val="000629D9"/>
    <w:rsid w:val="00064ED2"/>
    <w:rsid w:val="00065E8F"/>
    <w:rsid w:val="00066548"/>
    <w:rsid w:val="00066B58"/>
    <w:rsid w:val="00067419"/>
    <w:rsid w:val="000707CD"/>
    <w:rsid w:val="00070DBA"/>
    <w:rsid w:val="00072BBF"/>
    <w:rsid w:val="00073D75"/>
    <w:rsid w:val="000747CD"/>
    <w:rsid w:val="0007680A"/>
    <w:rsid w:val="000802F7"/>
    <w:rsid w:val="000804E4"/>
    <w:rsid w:val="00080CAD"/>
    <w:rsid w:val="00080F1D"/>
    <w:rsid w:val="00081598"/>
    <w:rsid w:val="00081AC7"/>
    <w:rsid w:val="000826A6"/>
    <w:rsid w:val="00082F67"/>
    <w:rsid w:val="00086691"/>
    <w:rsid w:val="0008708E"/>
    <w:rsid w:val="0009343D"/>
    <w:rsid w:val="00094179"/>
    <w:rsid w:val="00096547"/>
    <w:rsid w:val="00097B28"/>
    <w:rsid w:val="000A0532"/>
    <w:rsid w:val="000A0C72"/>
    <w:rsid w:val="000A2C49"/>
    <w:rsid w:val="000A4361"/>
    <w:rsid w:val="000A6C9A"/>
    <w:rsid w:val="000A74FC"/>
    <w:rsid w:val="000B0070"/>
    <w:rsid w:val="000B036F"/>
    <w:rsid w:val="000B0A19"/>
    <w:rsid w:val="000B164F"/>
    <w:rsid w:val="000B47C2"/>
    <w:rsid w:val="000B5EC2"/>
    <w:rsid w:val="000B6445"/>
    <w:rsid w:val="000B74E6"/>
    <w:rsid w:val="000B7714"/>
    <w:rsid w:val="000C058F"/>
    <w:rsid w:val="000C0850"/>
    <w:rsid w:val="000C0D5A"/>
    <w:rsid w:val="000C17F5"/>
    <w:rsid w:val="000C2575"/>
    <w:rsid w:val="000C26CB"/>
    <w:rsid w:val="000C2F9D"/>
    <w:rsid w:val="000C600A"/>
    <w:rsid w:val="000C64BB"/>
    <w:rsid w:val="000C6A72"/>
    <w:rsid w:val="000C6B6F"/>
    <w:rsid w:val="000C726D"/>
    <w:rsid w:val="000C7542"/>
    <w:rsid w:val="000D5D35"/>
    <w:rsid w:val="000E26C9"/>
    <w:rsid w:val="000E32E4"/>
    <w:rsid w:val="000E5F56"/>
    <w:rsid w:val="000E7155"/>
    <w:rsid w:val="000E7398"/>
    <w:rsid w:val="000E73DD"/>
    <w:rsid w:val="000F0047"/>
    <w:rsid w:val="000F0CEE"/>
    <w:rsid w:val="000F2077"/>
    <w:rsid w:val="000F27E4"/>
    <w:rsid w:val="000F3C12"/>
    <w:rsid w:val="000F51FC"/>
    <w:rsid w:val="000F55D0"/>
    <w:rsid w:val="000F5A33"/>
    <w:rsid w:val="000F5B88"/>
    <w:rsid w:val="000F5BCD"/>
    <w:rsid w:val="000F6D09"/>
    <w:rsid w:val="00100841"/>
    <w:rsid w:val="00101B2B"/>
    <w:rsid w:val="001054EC"/>
    <w:rsid w:val="001075EE"/>
    <w:rsid w:val="0010779B"/>
    <w:rsid w:val="001102C2"/>
    <w:rsid w:val="00110416"/>
    <w:rsid w:val="00112251"/>
    <w:rsid w:val="00112B55"/>
    <w:rsid w:val="00112EAE"/>
    <w:rsid w:val="001131CC"/>
    <w:rsid w:val="00113ED3"/>
    <w:rsid w:val="00114D31"/>
    <w:rsid w:val="00115EAB"/>
    <w:rsid w:val="00115F22"/>
    <w:rsid w:val="00116567"/>
    <w:rsid w:val="00117681"/>
    <w:rsid w:val="001204DC"/>
    <w:rsid w:val="001207F9"/>
    <w:rsid w:val="00120CDA"/>
    <w:rsid w:val="00120E93"/>
    <w:rsid w:val="00122B5F"/>
    <w:rsid w:val="0012357B"/>
    <w:rsid w:val="00123FF2"/>
    <w:rsid w:val="0012607C"/>
    <w:rsid w:val="00126281"/>
    <w:rsid w:val="0012654B"/>
    <w:rsid w:val="001267DC"/>
    <w:rsid w:val="00127E86"/>
    <w:rsid w:val="0013196A"/>
    <w:rsid w:val="00132275"/>
    <w:rsid w:val="00132934"/>
    <w:rsid w:val="00135BD5"/>
    <w:rsid w:val="00136E08"/>
    <w:rsid w:val="00137F6C"/>
    <w:rsid w:val="001405C3"/>
    <w:rsid w:val="0014098B"/>
    <w:rsid w:val="00141CD6"/>
    <w:rsid w:val="001422AE"/>
    <w:rsid w:val="00143CA4"/>
    <w:rsid w:val="00144325"/>
    <w:rsid w:val="00144837"/>
    <w:rsid w:val="001452AF"/>
    <w:rsid w:val="00145B9B"/>
    <w:rsid w:val="00146F5E"/>
    <w:rsid w:val="0014704E"/>
    <w:rsid w:val="00147350"/>
    <w:rsid w:val="00150729"/>
    <w:rsid w:val="001518F0"/>
    <w:rsid w:val="00151A1D"/>
    <w:rsid w:val="001529AD"/>
    <w:rsid w:val="00153D4D"/>
    <w:rsid w:val="00155282"/>
    <w:rsid w:val="00155E27"/>
    <w:rsid w:val="001634D6"/>
    <w:rsid w:val="00163D77"/>
    <w:rsid w:val="00165A7C"/>
    <w:rsid w:val="001667A6"/>
    <w:rsid w:val="00166B50"/>
    <w:rsid w:val="00167AAE"/>
    <w:rsid w:val="001708B2"/>
    <w:rsid w:val="00172A2C"/>
    <w:rsid w:val="001732E5"/>
    <w:rsid w:val="00173986"/>
    <w:rsid w:val="00175A50"/>
    <w:rsid w:val="001770F2"/>
    <w:rsid w:val="00177A54"/>
    <w:rsid w:val="001829C1"/>
    <w:rsid w:val="00183865"/>
    <w:rsid w:val="00184848"/>
    <w:rsid w:val="00186EFF"/>
    <w:rsid w:val="00190489"/>
    <w:rsid w:val="00191BE0"/>
    <w:rsid w:val="00191F31"/>
    <w:rsid w:val="00193171"/>
    <w:rsid w:val="00193AB1"/>
    <w:rsid w:val="00194373"/>
    <w:rsid w:val="00194613"/>
    <w:rsid w:val="00196A45"/>
    <w:rsid w:val="001978E9"/>
    <w:rsid w:val="001A13F7"/>
    <w:rsid w:val="001A16CD"/>
    <w:rsid w:val="001A6CD6"/>
    <w:rsid w:val="001A7A22"/>
    <w:rsid w:val="001A7F26"/>
    <w:rsid w:val="001B0835"/>
    <w:rsid w:val="001B2583"/>
    <w:rsid w:val="001B2D1B"/>
    <w:rsid w:val="001B360F"/>
    <w:rsid w:val="001B3B43"/>
    <w:rsid w:val="001B4ABF"/>
    <w:rsid w:val="001B723A"/>
    <w:rsid w:val="001B7308"/>
    <w:rsid w:val="001B7963"/>
    <w:rsid w:val="001C091A"/>
    <w:rsid w:val="001C627D"/>
    <w:rsid w:val="001C6A81"/>
    <w:rsid w:val="001D0A29"/>
    <w:rsid w:val="001D3F17"/>
    <w:rsid w:val="001D45D6"/>
    <w:rsid w:val="001D5C69"/>
    <w:rsid w:val="001E1916"/>
    <w:rsid w:val="001E32E9"/>
    <w:rsid w:val="001E3601"/>
    <w:rsid w:val="001E4FD9"/>
    <w:rsid w:val="001E5BDF"/>
    <w:rsid w:val="001E5F7A"/>
    <w:rsid w:val="001E60AD"/>
    <w:rsid w:val="001E7A90"/>
    <w:rsid w:val="001F08BE"/>
    <w:rsid w:val="001F1188"/>
    <w:rsid w:val="001F17D8"/>
    <w:rsid w:val="001F52C0"/>
    <w:rsid w:val="001F584F"/>
    <w:rsid w:val="001F67FE"/>
    <w:rsid w:val="00200396"/>
    <w:rsid w:val="00201ACA"/>
    <w:rsid w:val="00202213"/>
    <w:rsid w:val="00202FFB"/>
    <w:rsid w:val="002033E7"/>
    <w:rsid w:val="00205C24"/>
    <w:rsid w:val="002066F7"/>
    <w:rsid w:val="00206831"/>
    <w:rsid w:val="00206C2F"/>
    <w:rsid w:val="00206C42"/>
    <w:rsid w:val="0021065C"/>
    <w:rsid w:val="0021399C"/>
    <w:rsid w:val="00214394"/>
    <w:rsid w:val="00220B47"/>
    <w:rsid w:val="00221CE4"/>
    <w:rsid w:val="00221D3B"/>
    <w:rsid w:val="00222A3D"/>
    <w:rsid w:val="00223F53"/>
    <w:rsid w:val="00224F72"/>
    <w:rsid w:val="00224FC4"/>
    <w:rsid w:val="00225BC0"/>
    <w:rsid w:val="00226C07"/>
    <w:rsid w:val="0023086C"/>
    <w:rsid w:val="002326C9"/>
    <w:rsid w:val="00233B81"/>
    <w:rsid w:val="002344E4"/>
    <w:rsid w:val="00234845"/>
    <w:rsid w:val="00235481"/>
    <w:rsid w:val="00237006"/>
    <w:rsid w:val="002408ED"/>
    <w:rsid w:val="0024180A"/>
    <w:rsid w:val="00241AEE"/>
    <w:rsid w:val="00242524"/>
    <w:rsid w:val="002468A6"/>
    <w:rsid w:val="002507B8"/>
    <w:rsid w:val="00252066"/>
    <w:rsid w:val="00252427"/>
    <w:rsid w:val="0025313A"/>
    <w:rsid w:val="002533D5"/>
    <w:rsid w:val="00254539"/>
    <w:rsid w:val="00255C7C"/>
    <w:rsid w:val="00256D94"/>
    <w:rsid w:val="002607BC"/>
    <w:rsid w:val="00261480"/>
    <w:rsid w:val="00262318"/>
    <w:rsid w:val="00262671"/>
    <w:rsid w:val="002627BA"/>
    <w:rsid w:val="00262A64"/>
    <w:rsid w:val="00263195"/>
    <w:rsid w:val="0026396B"/>
    <w:rsid w:val="002643D3"/>
    <w:rsid w:val="002649B0"/>
    <w:rsid w:val="00265120"/>
    <w:rsid w:val="00265384"/>
    <w:rsid w:val="00266DFD"/>
    <w:rsid w:val="00271072"/>
    <w:rsid w:val="0027111F"/>
    <w:rsid w:val="0027143B"/>
    <w:rsid w:val="00272134"/>
    <w:rsid w:val="002737E6"/>
    <w:rsid w:val="0027575C"/>
    <w:rsid w:val="00281B62"/>
    <w:rsid w:val="002821FB"/>
    <w:rsid w:val="00282A6B"/>
    <w:rsid w:val="00283087"/>
    <w:rsid w:val="00283A9F"/>
    <w:rsid w:val="0028420E"/>
    <w:rsid w:val="0028576F"/>
    <w:rsid w:val="002908A3"/>
    <w:rsid w:val="00290B2A"/>
    <w:rsid w:val="002919D6"/>
    <w:rsid w:val="0029450F"/>
    <w:rsid w:val="0029453B"/>
    <w:rsid w:val="00294B03"/>
    <w:rsid w:val="0029562B"/>
    <w:rsid w:val="002A3F5E"/>
    <w:rsid w:val="002B0549"/>
    <w:rsid w:val="002B5600"/>
    <w:rsid w:val="002B6B66"/>
    <w:rsid w:val="002B7C2F"/>
    <w:rsid w:val="002C0B1B"/>
    <w:rsid w:val="002C0BF8"/>
    <w:rsid w:val="002C2AA0"/>
    <w:rsid w:val="002C4015"/>
    <w:rsid w:val="002C4373"/>
    <w:rsid w:val="002C45E3"/>
    <w:rsid w:val="002C482A"/>
    <w:rsid w:val="002C4E76"/>
    <w:rsid w:val="002C5256"/>
    <w:rsid w:val="002C59D2"/>
    <w:rsid w:val="002C5D9D"/>
    <w:rsid w:val="002C5DDB"/>
    <w:rsid w:val="002C7772"/>
    <w:rsid w:val="002D0ABF"/>
    <w:rsid w:val="002D0E11"/>
    <w:rsid w:val="002D0E65"/>
    <w:rsid w:val="002D1F8D"/>
    <w:rsid w:val="002D21FE"/>
    <w:rsid w:val="002D3535"/>
    <w:rsid w:val="002D6BDC"/>
    <w:rsid w:val="002D6F5B"/>
    <w:rsid w:val="002D7BA7"/>
    <w:rsid w:val="002E02CA"/>
    <w:rsid w:val="002E0C6F"/>
    <w:rsid w:val="002E2076"/>
    <w:rsid w:val="002E4170"/>
    <w:rsid w:val="002E5658"/>
    <w:rsid w:val="002E6E5D"/>
    <w:rsid w:val="002E72EA"/>
    <w:rsid w:val="002F084E"/>
    <w:rsid w:val="002F0D6B"/>
    <w:rsid w:val="002F3622"/>
    <w:rsid w:val="002F3A02"/>
    <w:rsid w:val="002F4FAF"/>
    <w:rsid w:val="002F6A08"/>
    <w:rsid w:val="003013BC"/>
    <w:rsid w:val="00302B2E"/>
    <w:rsid w:val="00303710"/>
    <w:rsid w:val="00304A6E"/>
    <w:rsid w:val="00311981"/>
    <w:rsid w:val="00312290"/>
    <w:rsid w:val="003133B9"/>
    <w:rsid w:val="00316E20"/>
    <w:rsid w:val="00317594"/>
    <w:rsid w:val="00317681"/>
    <w:rsid w:val="00320AF8"/>
    <w:rsid w:val="003218E2"/>
    <w:rsid w:val="00322DC1"/>
    <w:rsid w:val="00322F64"/>
    <w:rsid w:val="00323AB2"/>
    <w:rsid w:val="00323E42"/>
    <w:rsid w:val="00324291"/>
    <w:rsid w:val="00332262"/>
    <w:rsid w:val="00332DCD"/>
    <w:rsid w:val="00341E28"/>
    <w:rsid w:val="00342EFC"/>
    <w:rsid w:val="00343E32"/>
    <w:rsid w:val="0034498B"/>
    <w:rsid w:val="003454E7"/>
    <w:rsid w:val="0034763A"/>
    <w:rsid w:val="00350094"/>
    <w:rsid w:val="00350EBE"/>
    <w:rsid w:val="003521AF"/>
    <w:rsid w:val="0035389E"/>
    <w:rsid w:val="0035486D"/>
    <w:rsid w:val="00354CB8"/>
    <w:rsid w:val="003555E5"/>
    <w:rsid w:val="00355751"/>
    <w:rsid w:val="00361DB2"/>
    <w:rsid w:val="003658C4"/>
    <w:rsid w:val="00366179"/>
    <w:rsid w:val="0036788E"/>
    <w:rsid w:val="00370D7F"/>
    <w:rsid w:val="0037225B"/>
    <w:rsid w:val="003725EE"/>
    <w:rsid w:val="00375EBE"/>
    <w:rsid w:val="00377C3A"/>
    <w:rsid w:val="00377E59"/>
    <w:rsid w:val="003802B5"/>
    <w:rsid w:val="00381F10"/>
    <w:rsid w:val="00382611"/>
    <w:rsid w:val="00382F8E"/>
    <w:rsid w:val="003861F4"/>
    <w:rsid w:val="00386414"/>
    <w:rsid w:val="00386872"/>
    <w:rsid w:val="00386D54"/>
    <w:rsid w:val="00387668"/>
    <w:rsid w:val="00392A6A"/>
    <w:rsid w:val="0039333C"/>
    <w:rsid w:val="003943D9"/>
    <w:rsid w:val="00395C28"/>
    <w:rsid w:val="00397394"/>
    <w:rsid w:val="00397706"/>
    <w:rsid w:val="0039793A"/>
    <w:rsid w:val="003A0FF0"/>
    <w:rsid w:val="003A19C3"/>
    <w:rsid w:val="003A2DE6"/>
    <w:rsid w:val="003A43D8"/>
    <w:rsid w:val="003A485F"/>
    <w:rsid w:val="003A627A"/>
    <w:rsid w:val="003B1541"/>
    <w:rsid w:val="003B16ED"/>
    <w:rsid w:val="003B4775"/>
    <w:rsid w:val="003B4F96"/>
    <w:rsid w:val="003B7131"/>
    <w:rsid w:val="003B7551"/>
    <w:rsid w:val="003C1F7E"/>
    <w:rsid w:val="003C30C4"/>
    <w:rsid w:val="003C4F0D"/>
    <w:rsid w:val="003C7B9C"/>
    <w:rsid w:val="003D1330"/>
    <w:rsid w:val="003D2D77"/>
    <w:rsid w:val="003D3101"/>
    <w:rsid w:val="003D39FA"/>
    <w:rsid w:val="003D48E3"/>
    <w:rsid w:val="003D56BF"/>
    <w:rsid w:val="003D7368"/>
    <w:rsid w:val="003D7495"/>
    <w:rsid w:val="003E11B9"/>
    <w:rsid w:val="003E1332"/>
    <w:rsid w:val="003E133E"/>
    <w:rsid w:val="003E31CB"/>
    <w:rsid w:val="003E4166"/>
    <w:rsid w:val="003E4345"/>
    <w:rsid w:val="003E61A2"/>
    <w:rsid w:val="003E705A"/>
    <w:rsid w:val="003E7225"/>
    <w:rsid w:val="003F0481"/>
    <w:rsid w:val="003F0E52"/>
    <w:rsid w:val="003F16C8"/>
    <w:rsid w:val="003F1AB9"/>
    <w:rsid w:val="003F25D9"/>
    <w:rsid w:val="003F2732"/>
    <w:rsid w:val="003F29A9"/>
    <w:rsid w:val="003F4107"/>
    <w:rsid w:val="003F55B9"/>
    <w:rsid w:val="003F5A9E"/>
    <w:rsid w:val="003F6A1F"/>
    <w:rsid w:val="003F6C85"/>
    <w:rsid w:val="004001E4"/>
    <w:rsid w:val="00400CEE"/>
    <w:rsid w:val="00402695"/>
    <w:rsid w:val="00404053"/>
    <w:rsid w:val="004069D8"/>
    <w:rsid w:val="00407B9C"/>
    <w:rsid w:val="00410A09"/>
    <w:rsid w:val="004179D3"/>
    <w:rsid w:val="00417AC2"/>
    <w:rsid w:val="004201C7"/>
    <w:rsid w:val="004221F8"/>
    <w:rsid w:val="004222B6"/>
    <w:rsid w:val="00424167"/>
    <w:rsid w:val="0042554B"/>
    <w:rsid w:val="004270F4"/>
    <w:rsid w:val="0042774B"/>
    <w:rsid w:val="00430045"/>
    <w:rsid w:val="0043128B"/>
    <w:rsid w:val="004314A0"/>
    <w:rsid w:val="004322FD"/>
    <w:rsid w:val="00432563"/>
    <w:rsid w:val="00441E4E"/>
    <w:rsid w:val="00443D61"/>
    <w:rsid w:val="00444649"/>
    <w:rsid w:val="004454EF"/>
    <w:rsid w:val="0044734B"/>
    <w:rsid w:val="00447560"/>
    <w:rsid w:val="00447748"/>
    <w:rsid w:val="00447F9B"/>
    <w:rsid w:val="004514E6"/>
    <w:rsid w:val="004541B6"/>
    <w:rsid w:val="00454657"/>
    <w:rsid w:val="00454AE0"/>
    <w:rsid w:val="00457CA2"/>
    <w:rsid w:val="00457CA4"/>
    <w:rsid w:val="00463671"/>
    <w:rsid w:val="00463F72"/>
    <w:rsid w:val="004710FD"/>
    <w:rsid w:val="00473EE8"/>
    <w:rsid w:val="00474D0E"/>
    <w:rsid w:val="00475A4A"/>
    <w:rsid w:val="00475C19"/>
    <w:rsid w:val="0047694C"/>
    <w:rsid w:val="004774F1"/>
    <w:rsid w:val="004800AB"/>
    <w:rsid w:val="00480A15"/>
    <w:rsid w:val="00481987"/>
    <w:rsid w:val="0048301B"/>
    <w:rsid w:val="004851D5"/>
    <w:rsid w:val="004854D1"/>
    <w:rsid w:val="00486D34"/>
    <w:rsid w:val="00486E49"/>
    <w:rsid w:val="00487D81"/>
    <w:rsid w:val="00490E8A"/>
    <w:rsid w:val="00491945"/>
    <w:rsid w:val="00492684"/>
    <w:rsid w:val="004944E9"/>
    <w:rsid w:val="004948E4"/>
    <w:rsid w:val="00494A88"/>
    <w:rsid w:val="00496FB5"/>
    <w:rsid w:val="004A063E"/>
    <w:rsid w:val="004A56DB"/>
    <w:rsid w:val="004A5ED7"/>
    <w:rsid w:val="004A78F3"/>
    <w:rsid w:val="004B0276"/>
    <w:rsid w:val="004B1A7E"/>
    <w:rsid w:val="004B3860"/>
    <w:rsid w:val="004B4712"/>
    <w:rsid w:val="004B58A9"/>
    <w:rsid w:val="004B5B28"/>
    <w:rsid w:val="004B6D2F"/>
    <w:rsid w:val="004B7390"/>
    <w:rsid w:val="004C1F30"/>
    <w:rsid w:val="004C4DE4"/>
    <w:rsid w:val="004C5370"/>
    <w:rsid w:val="004C6DE5"/>
    <w:rsid w:val="004D08DB"/>
    <w:rsid w:val="004D0FE8"/>
    <w:rsid w:val="004D148F"/>
    <w:rsid w:val="004D1891"/>
    <w:rsid w:val="004D1C75"/>
    <w:rsid w:val="004D208E"/>
    <w:rsid w:val="004D2723"/>
    <w:rsid w:val="004D344B"/>
    <w:rsid w:val="004D6085"/>
    <w:rsid w:val="004D6C56"/>
    <w:rsid w:val="004E02AE"/>
    <w:rsid w:val="004E0658"/>
    <w:rsid w:val="004E06B2"/>
    <w:rsid w:val="004E0A8A"/>
    <w:rsid w:val="004E1576"/>
    <w:rsid w:val="004E2646"/>
    <w:rsid w:val="004E4151"/>
    <w:rsid w:val="004E5C54"/>
    <w:rsid w:val="004E5D41"/>
    <w:rsid w:val="004E6DC4"/>
    <w:rsid w:val="004E731A"/>
    <w:rsid w:val="004E78EA"/>
    <w:rsid w:val="004E7D26"/>
    <w:rsid w:val="004E7D8A"/>
    <w:rsid w:val="004E7E41"/>
    <w:rsid w:val="004F0153"/>
    <w:rsid w:val="004F0CA6"/>
    <w:rsid w:val="004F17E2"/>
    <w:rsid w:val="004F1CE2"/>
    <w:rsid w:val="004F4146"/>
    <w:rsid w:val="004F4762"/>
    <w:rsid w:val="004F4D71"/>
    <w:rsid w:val="004F6200"/>
    <w:rsid w:val="004F6354"/>
    <w:rsid w:val="004F64AA"/>
    <w:rsid w:val="004F7A20"/>
    <w:rsid w:val="00500092"/>
    <w:rsid w:val="005002CF"/>
    <w:rsid w:val="00500B01"/>
    <w:rsid w:val="00500DBF"/>
    <w:rsid w:val="00501CE8"/>
    <w:rsid w:val="005043AB"/>
    <w:rsid w:val="005062E1"/>
    <w:rsid w:val="0051044B"/>
    <w:rsid w:val="0051116E"/>
    <w:rsid w:val="005125E0"/>
    <w:rsid w:val="00514703"/>
    <w:rsid w:val="0051608E"/>
    <w:rsid w:val="005201E9"/>
    <w:rsid w:val="005205D8"/>
    <w:rsid w:val="00522ABD"/>
    <w:rsid w:val="005235D1"/>
    <w:rsid w:val="00525F83"/>
    <w:rsid w:val="00527828"/>
    <w:rsid w:val="0053225D"/>
    <w:rsid w:val="005333CD"/>
    <w:rsid w:val="00535D1C"/>
    <w:rsid w:val="00540F07"/>
    <w:rsid w:val="00543480"/>
    <w:rsid w:val="0054461A"/>
    <w:rsid w:val="00544CAD"/>
    <w:rsid w:val="005501A8"/>
    <w:rsid w:val="00552A1B"/>
    <w:rsid w:val="005532C1"/>
    <w:rsid w:val="005545F9"/>
    <w:rsid w:val="00555628"/>
    <w:rsid w:val="00555B88"/>
    <w:rsid w:val="00557415"/>
    <w:rsid w:val="00561188"/>
    <w:rsid w:val="00564A62"/>
    <w:rsid w:val="00565676"/>
    <w:rsid w:val="005667D1"/>
    <w:rsid w:val="00566E34"/>
    <w:rsid w:val="00571D1E"/>
    <w:rsid w:val="00571F54"/>
    <w:rsid w:val="005732A5"/>
    <w:rsid w:val="00573359"/>
    <w:rsid w:val="005750A7"/>
    <w:rsid w:val="005750DF"/>
    <w:rsid w:val="00575E95"/>
    <w:rsid w:val="005778C7"/>
    <w:rsid w:val="00577BB5"/>
    <w:rsid w:val="00580121"/>
    <w:rsid w:val="005804AE"/>
    <w:rsid w:val="005808A6"/>
    <w:rsid w:val="0058293D"/>
    <w:rsid w:val="00582BC4"/>
    <w:rsid w:val="00585209"/>
    <w:rsid w:val="0058665D"/>
    <w:rsid w:val="00590667"/>
    <w:rsid w:val="00591E62"/>
    <w:rsid w:val="00593F40"/>
    <w:rsid w:val="00594EEC"/>
    <w:rsid w:val="0059519A"/>
    <w:rsid w:val="005960BC"/>
    <w:rsid w:val="005A1563"/>
    <w:rsid w:val="005A2615"/>
    <w:rsid w:val="005A4487"/>
    <w:rsid w:val="005A4C5B"/>
    <w:rsid w:val="005A583E"/>
    <w:rsid w:val="005B4348"/>
    <w:rsid w:val="005B47AD"/>
    <w:rsid w:val="005B5E17"/>
    <w:rsid w:val="005C05A1"/>
    <w:rsid w:val="005C0C5F"/>
    <w:rsid w:val="005C1E1E"/>
    <w:rsid w:val="005C281F"/>
    <w:rsid w:val="005C492E"/>
    <w:rsid w:val="005C5B68"/>
    <w:rsid w:val="005C5D8E"/>
    <w:rsid w:val="005C5F91"/>
    <w:rsid w:val="005C720C"/>
    <w:rsid w:val="005D11EB"/>
    <w:rsid w:val="005D130E"/>
    <w:rsid w:val="005D13E8"/>
    <w:rsid w:val="005D2919"/>
    <w:rsid w:val="005D5553"/>
    <w:rsid w:val="005D63CA"/>
    <w:rsid w:val="005D7922"/>
    <w:rsid w:val="005E0606"/>
    <w:rsid w:val="005E2674"/>
    <w:rsid w:val="005E3208"/>
    <w:rsid w:val="005E528D"/>
    <w:rsid w:val="005E6746"/>
    <w:rsid w:val="005E75EA"/>
    <w:rsid w:val="005F0641"/>
    <w:rsid w:val="005F1597"/>
    <w:rsid w:val="005F1E3B"/>
    <w:rsid w:val="005F2034"/>
    <w:rsid w:val="005F3D9C"/>
    <w:rsid w:val="005F40AD"/>
    <w:rsid w:val="005F72A3"/>
    <w:rsid w:val="00603734"/>
    <w:rsid w:val="006048BB"/>
    <w:rsid w:val="00605D22"/>
    <w:rsid w:val="00607A55"/>
    <w:rsid w:val="00610412"/>
    <w:rsid w:val="00611066"/>
    <w:rsid w:val="00611B0A"/>
    <w:rsid w:val="0061436B"/>
    <w:rsid w:val="00615A1E"/>
    <w:rsid w:val="00615D35"/>
    <w:rsid w:val="0061603C"/>
    <w:rsid w:val="006160BE"/>
    <w:rsid w:val="00617FD9"/>
    <w:rsid w:val="00622B18"/>
    <w:rsid w:val="00622F8F"/>
    <w:rsid w:val="006236CD"/>
    <w:rsid w:val="00623B3F"/>
    <w:rsid w:val="00623B85"/>
    <w:rsid w:val="006241E1"/>
    <w:rsid w:val="00624210"/>
    <w:rsid w:val="00624DEB"/>
    <w:rsid w:val="006279EF"/>
    <w:rsid w:val="0063175C"/>
    <w:rsid w:val="00633B1B"/>
    <w:rsid w:val="00633FDE"/>
    <w:rsid w:val="00634846"/>
    <w:rsid w:val="00637B31"/>
    <w:rsid w:val="00637EE6"/>
    <w:rsid w:val="00643833"/>
    <w:rsid w:val="006443CD"/>
    <w:rsid w:val="00646D39"/>
    <w:rsid w:val="00650799"/>
    <w:rsid w:val="00651A66"/>
    <w:rsid w:val="00651ACE"/>
    <w:rsid w:val="00653D06"/>
    <w:rsid w:val="0065490B"/>
    <w:rsid w:val="00655ED8"/>
    <w:rsid w:val="006577B2"/>
    <w:rsid w:val="00661F94"/>
    <w:rsid w:val="00662CB6"/>
    <w:rsid w:val="0066305F"/>
    <w:rsid w:val="00667163"/>
    <w:rsid w:val="006702A0"/>
    <w:rsid w:val="00670F50"/>
    <w:rsid w:val="006719BF"/>
    <w:rsid w:val="00671B3D"/>
    <w:rsid w:val="00672316"/>
    <w:rsid w:val="00672435"/>
    <w:rsid w:val="0067499D"/>
    <w:rsid w:val="00676A3C"/>
    <w:rsid w:val="00677DF1"/>
    <w:rsid w:val="0068027F"/>
    <w:rsid w:val="00680AC2"/>
    <w:rsid w:val="00680FA1"/>
    <w:rsid w:val="006813F0"/>
    <w:rsid w:val="0068340D"/>
    <w:rsid w:val="00684C5F"/>
    <w:rsid w:val="00686A11"/>
    <w:rsid w:val="00687196"/>
    <w:rsid w:val="00687319"/>
    <w:rsid w:val="00691D80"/>
    <w:rsid w:val="0069456C"/>
    <w:rsid w:val="00694735"/>
    <w:rsid w:val="00694AD5"/>
    <w:rsid w:val="00695220"/>
    <w:rsid w:val="00696204"/>
    <w:rsid w:val="006968B1"/>
    <w:rsid w:val="006A46DA"/>
    <w:rsid w:val="006A4723"/>
    <w:rsid w:val="006A7170"/>
    <w:rsid w:val="006B0368"/>
    <w:rsid w:val="006B2324"/>
    <w:rsid w:val="006B3C45"/>
    <w:rsid w:val="006B44DE"/>
    <w:rsid w:val="006B4801"/>
    <w:rsid w:val="006B6982"/>
    <w:rsid w:val="006B6B35"/>
    <w:rsid w:val="006C459A"/>
    <w:rsid w:val="006C5032"/>
    <w:rsid w:val="006C5442"/>
    <w:rsid w:val="006C642E"/>
    <w:rsid w:val="006C6614"/>
    <w:rsid w:val="006D2C03"/>
    <w:rsid w:val="006D3D4E"/>
    <w:rsid w:val="006D4E6D"/>
    <w:rsid w:val="006D595C"/>
    <w:rsid w:val="006D6B92"/>
    <w:rsid w:val="006D70D6"/>
    <w:rsid w:val="006E63C0"/>
    <w:rsid w:val="006E79F2"/>
    <w:rsid w:val="006F328B"/>
    <w:rsid w:val="006F3E9A"/>
    <w:rsid w:val="006F7B2F"/>
    <w:rsid w:val="00705D86"/>
    <w:rsid w:val="007100A3"/>
    <w:rsid w:val="007110C6"/>
    <w:rsid w:val="0071271C"/>
    <w:rsid w:val="00715268"/>
    <w:rsid w:val="00717A04"/>
    <w:rsid w:val="007215D1"/>
    <w:rsid w:val="00721D92"/>
    <w:rsid w:val="007224B5"/>
    <w:rsid w:val="0072375B"/>
    <w:rsid w:val="00725CF0"/>
    <w:rsid w:val="0072655C"/>
    <w:rsid w:val="00730531"/>
    <w:rsid w:val="0073211F"/>
    <w:rsid w:val="00735574"/>
    <w:rsid w:val="00735636"/>
    <w:rsid w:val="007367DE"/>
    <w:rsid w:val="00740862"/>
    <w:rsid w:val="00744D15"/>
    <w:rsid w:val="007452A3"/>
    <w:rsid w:val="00745D3B"/>
    <w:rsid w:val="00747A51"/>
    <w:rsid w:val="00751E1D"/>
    <w:rsid w:val="00751FA6"/>
    <w:rsid w:val="007545F3"/>
    <w:rsid w:val="00755812"/>
    <w:rsid w:val="00760617"/>
    <w:rsid w:val="0076151E"/>
    <w:rsid w:val="00763C45"/>
    <w:rsid w:val="00764C27"/>
    <w:rsid w:val="00766ADB"/>
    <w:rsid w:val="00767700"/>
    <w:rsid w:val="0076793C"/>
    <w:rsid w:val="00767BFE"/>
    <w:rsid w:val="00770E3C"/>
    <w:rsid w:val="0077112A"/>
    <w:rsid w:val="00771F60"/>
    <w:rsid w:val="007725E5"/>
    <w:rsid w:val="007732FB"/>
    <w:rsid w:val="00774AF7"/>
    <w:rsid w:val="007764DA"/>
    <w:rsid w:val="0077692C"/>
    <w:rsid w:val="007774FD"/>
    <w:rsid w:val="00780F47"/>
    <w:rsid w:val="007815BE"/>
    <w:rsid w:val="007827ED"/>
    <w:rsid w:val="00782FB1"/>
    <w:rsid w:val="00782FCA"/>
    <w:rsid w:val="007837BD"/>
    <w:rsid w:val="00785639"/>
    <w:rsid w:val="0078737D"/>
    <w:rsid w:val="007913A0"/>
    <w:rsid w:val="00791739"/>
    <w:rsid w:val="00792078"/>
    <w:rsid w:val="007939E9"/>
    <w:rsid w:val="00793D0F"/>
    <w:rsid w:val="007958B0"/>
    <w:rsid w:val="00795A56"/>
    <w:rsid w:val="00795B8B"/>
    <w:rsid w:val="00797678"/>
    <w:rsid w:val="00797E77"/>
    <w:rsid w:val="007A1649"/>
    <w:rsid w:val="007A1653"/>
    <w:rsid w:val="007A4F5C"/>
    <w:rsid w:val="007A50B7"/>
    <w:rsid w:val="007A5176"/>
    <w:rsid w:val="007B261D"/>
    <w:rsid w:val="007B3488"/>
    <w:rsid w:val="007B3AE7"/>
    <w:rsid w:val="007B5293"/>
    <w:rsid w:val="007B5899"/>
    <w:rsid w:val="007B5E68"/>
    <w:rsid w:val="007B6D7E"/>
    <w:rsid w:val="007C0D62"/>
    <w:rsid w:val="007C1358"/>
    <w:rsid w:val="007C392D"/>
    <w:rsid w:val="007C6774"/>
    <w:rsid w:val="007C68A1"/>
    <w:rsid w:val="007C77B6"/>
    <w:rsid w:val="007D083A"/>
    <w:rsid w:val="007D1BB6"/>
    <w:rsid w:val="007D23A2"/>
    <w:rsid w:val="007D3EAE"/>
    <w:rsid w:val="007D5219"/>
    <w:rsid w:val="007E2220"/>
    <w:rsid w:val="007E2A3D"/>
    <w:rsid w:val="007E2F6F"/>
    <w:rsid w:val="007E3005"/>
    <w:rsid w:val="007E3A28"/>
    <w:rsid w:val="007E5F37"/>
    <w:rsid w:val="007E6837"/>
    <w:rsid w:val="007E7760"/>
    <w:rsid w:val="007F04FE"/>
    <w:rsid w:val="007F30B0"/>
    <w:rsid w:val="007F3EA0"/>
    <w:rsid w:val="007F4321"/>
    <w:rsid w:val="007F5C18"/>
    <w:rsid w:val="007F6E50"/>
    <w:rsid w:val="007F77D5"/>
    <w:rsid w:val="007F7EB2"/>
    <w:rsid w:val="00800560"/>
    <w:rsid w:val="00801C34"/>
    <w:rsid w:val="0080351C"/>
    <w:rsid w:val="00803868"/>
    <w:rsid w:val="00804174"/>
    <w:rsid w:val="00805054"/>
    <w:rsid w:val="00805EB9"/>
    <w:rsid w:val="0080624C"/>
    <w:rsid w:val="0080667D"/>
    <w:rsid w:val="00806C5D"/>
    <w:rsid w:val="008101A0"/>
    <w:rsid w:val="00810693"/>
    <w:rsid w:val="008109E6"/>
    <w:rsid w:val="00812B49"/>
    <w:rsid w:val="00812E15"/>
    <w:rsid w:val="00817078"/>
    <w:rsid w:val="0081775C"/>
    <w:rsid w:val="00821823"/>
    <w:rsid w:val="00822440"/>
    <w:rsid w:val="00822654"/>
    <w:rsid w:val="008227DE"/>
    <w:rsid w:val="0082369C"/>
    <w:rsid w:val="008236D8"/>
    <w:rsid w:val="008238E0"/>
    <w:rsid w:val="00823980"/>
    <w:rsid w:val="008248BC"/>
    <w:rsid w:val="0082664E"/>
    <w:rsid w:val="00827FFA"/>
    <w:rsid w:val="00832B63"/>
    <w:rsid w:val="008347C2"/>
    <w:rsid w:val="008353A5"/>
    <w:rsid w:val="008374F3"/>
    <w:rsid w:val="00837B50"/>
    <w:rsid w:val="008402AF"/>
    <w:rsid w:val="008406FD"/>
    <w:rsid w:val="00841ED5"/>
    <w:rsid w:val="0084228C"/>
    <w:rsid w:val="008429A3"/>
    <w:rsid w:val="0084382D"/>
    <w:rsid w:val="0084384F"/>
    <w:rsid w:val="00843C1D"/>
    <w:rsid w:val="00846956"/>
    <w:rsid w:val="00846E84"/>
    <w:rsid w:val="008471F3"/>
    <w:rsid w:val="00850654"/>
    <w:rsid w:val="00851FB2"/>
    <w:rsid w:val="0085506A"/>
    <w:rsid w:val="00855E2B"/>
    <w:rsid w:val="008576B7"/>
    <w:rsid w:val="00857864"/>
    <w:rsid w:val="008578B7"/>
    <w:rsid w:val="00861420"/>
    <w:rsid w:val="008617FD"/>
    <w:rsid w:val="00862408"/>
    <w:rsid w:val="008628D4"/>
    <w:rsid w:val="00863362"/>
    <w:rsid w:val="00864894"/>
    <w:rsid w:val="00865F04"/>
    <w:rsid w:val="008675BA"/>
    <w:rsid w:val="00871309"/>
    <w:rsid w:val="00871E04"/>
    <w:rsid w:val="00871E81"/>
    <w:rsid w:val="00874791"/>
    <w:rsid w:val="00875CC2"/>
    <w:rsid w:val="008767D7"/>
    <w:rsid w:val="0088069B"/>
    <w:rsid w:val="0088194F"/>
    <w:rsid w:val="00881BDF"/>
    <w:rsid w:val="00885ABA"/>
    <w:rsid w:val="0088681C"/>
    <w:rsid w:val="00887906"/>
    <w:rsid w:val="00887B91"/>
    <w:rsid w:val="008906F4"/>
    <w:rsid w:val="00890F2D"/>
    <w:rsid w:val="00890F44"/>
    <w:rsid w:val="0089110A"/>
    <w:rsid w:val="00891623"/>
    <w:rsid w:val="00891693"/>
    <w:rsid w:val="008919B9"/>
    <w:rsid w:val="008923F0"/>
    <w:rsid w:val="00892835"/>
    <w:rsid w:val="008928E6"/>
    <w:rsid w:val="008929D4"/>
    <w:rsid w:val="0089342B"/>
    <w:rsid w:val="00894CF6"/>
    <w:rsid w:val="008954A6"/>
    <w:rsid w:val="008954EB"/>
    <w:rsid w:val="0089796E"/>
    <w:rsid w:val="008A1266"/>
    <w:rsid w:val="008A1462"/>
    <w:rsid w:val="008A33F2"/>
    <w:rsid w:val="008A3CFE"/>
    <w:rsid w:val="008A6FA7"/>
    <w:rsid w:val="008A7BC3"/>
    <w:rsid w:val="008A7EDA"/>
    <w:rsid w:val="008B12BC"/>
    <w:rsid w:val="008B1466"/>
    <w:rsid w:val="008B1AE3"/>
    <w:rsid w:val="008B261B"/>
    <w:rsid w:val="008B31D3"/>
    <w:rsid w:val="008B47DD"/>
    <w:rsid w:val="008B67D6"/>
    <w:rsid w:val="008B6800"/>
    <w:rsid w:val="008B7093"/>
    <w:rsid w:val="008B735F"/>
    <w:rsid w:val="008B7B4D"/>
    <w:rsid w:val="008B7C0D"/>
    <w:rsid w:val="008B7CCB"/>
    <w:rsid w:val="008B7E10"/>
    <w:rsid w:val="008C08F9"/>
    <w:rsid w:val="008C0E0C"/>
    <w:rsid w:val="008C1D9F"/>
    <w:rsid w:val="008C267F"/>
    <w:rsid w:val="008C2A6B"/>
    <w:rsid w:val="008C2DF3"/>
    <w:rsid w:val="008C35BF"/>
    <w:rsid w:val="008C5A4C"/>
    <w:rsid w:val="008C61B9"/>
    <w:rsid w:val="008C6475"/>
    <w:rsid w:val="008C6830"/>
    <w:rsid w:val="008C716A"/>
    <w:rsid w:val="008D0848"/>
    <w:rsid w:val="008D09A0"/>
    <w:rsid w:val="008D09B8"/>
    <w:rsid w:val="008D19B8"/>
    <w:rsid w:val="008D28B1"/>
    <w:rsid w:val="008D3C49"/>
    <w:rsid w:val="008D3D9C"/>
    <w:rsid w:val="008D4590"/>
    <w:rsid w:val="008D4A64"/>
    <w:rsid w:val="008D52AE"/>
    <w:rsid w:val="008D5371"/>
    <w:rsid w:val="008E012B"/>
    <w:rsid w:val="008E1680"/>
    <w:rsid w:val="008E17AC"/>
    <w:rsid w:val="008E3436"/>
    <w:rsid w:val="008E527B"/>
    <w:rsid w:val="008E6523"/>
    <w:rsid w:val="008E73E8"/>
    <w:rsid w:val="008E77A7"/>
    <w:rsid w:val="008F3506"/>
    <w:rsid w:val="008F42CA"/>
    <w:rsid w:val="008F5784"/>
    <w:rsid w:val="00900A88"/>
    <w:rsid w:val="00900E06"/>
    <w:rsid w:val="0090108E"/>
    <w:rsid w:val="00902561"/>
    <w:rsid w:val="00903CF4"/>
    <w:rsid w:val="00905AAB"/>
    <w:rsid w:val="00907F6E"/>
    <w:rsid w:val="009107A6"/>
    <w:rsid w:val="009109F5"/>
    <w:rsid w:val="00915858"/>
    <w:rsid w:val="00915C24"/>
    <w:rsid w:val="00915DFB"/>
    <w:rsid w:val="00916350"/>
    <w:rsid w:val="0091661A"/>
    <w:rsid w:val="00917C5E"/>
    <w:rsid w:val="00920195"/>
    <w:rsid w:val="00921A45"/>
    <w:rsid w:val="0092474F"/>
    <w:rsid w:val="00924C31"/>
    <w:rsid w:val="0092591A"/>
    <w:rsid w:val="00925BBE"/>
    <w:rsid w:val="0093013E"/>
    <w:rsid w:val="00930B66"/>
    <w:rsid w:val="0093173A"/>
    <w:rsid w:val="00931B13"/>
    <w:rsid w:val="0093323E"/>
    <w:rsid w:val="00933B95"/>
    <w:rsid w:val="009400AE"/>
    <w:rsid w:val="009401A6"/>
    <w:rsid w:val="00940E2E"/>
    <w:rsid w:val="00941B2C"/>
    <w:rsid w:val="00941FB6"/>
    <w:rsid w:val="00944311"/>
    <w:rsid w:val="00944D94"/>
    <w:rsid w:val="00945540"/>
    <w:rsid w:val="00945AF8"/>
    <w:rsid w:val="00945D72"/>
    <w:rsid w:val="0094621F"/>
    <w:rsid w:val="009464F6"/>
    <w:rsid w:val="00946DBB"/>
    <w:rsid w:val="00952311"/>
    <w:rsid w:val="00952720"/>
    <w:rsid w:val="00952E30"/>
    <w:rsid w:val="00953B96"/>
    <w:rsid w:val="009552A7"/>
    <w:rsid w:val="00955DAB"/>
    <w:rsid w:val="00956506"/>
    <w:rsid w:val="00960A0A"/>
    <w:rsid w:val="009616A3"/>
    <w:rsid w:val="00961BCE"/>
    <w:rsid w:val="009624B6"/>
    <w:rsid w:val="00963802"/>
    <w:rsid w:val="00964AC7"/>
    <w:rsid w:val="009656F0"/>
    <w:rsid w:val="009657AF"/>
    <w:rsid w:val="0096697D"/>
    <w:rsid w:val="00967DC9"/>
    <w:rsid w:val="00967FE5"/>
    <w:rsid w:val="00974DB3"/>
    <w:rsid w:val="00975A23"/>
    <w:rsid w:val="00976240"/>
    <w:rsid w:val="0097644A"/>
    <w:rsid w:val="00977F5E"/>
    <w:rsid w:val="009808CF"/>
    <w:rsid w:val="00983382"/>
    <w:rsid w:val="00983769"/>
    <w:rsid w:val="00983BC2"/>
    <w:rsid w:val="00983BE9"/>
    <w:rsid w:val="00985584"/>
    <w:rsid w:val="009867E9"/>
    <w:rsid w:val="00986AA8"/>
    <w:rsid w:val="009872E4"/>
    <w:rsid w:val="00991A35"/>
    <w:rsid w:val="009924D3"/>
    <w:rsid w:val="00995A86"/>
    <w:rsid w:val="009965A8"/>
    <w:rsid w:val="00996722"/>
    <w:rsid w:val="009A029D"/>
    <w:rsid w:val="009A09C9"/>
    <w:rsid w:val="009A2110"/>
    <w:rsid w:val="009A346B"/>
    <w:rsid w:val="009A63A6"/>
    <w:rsid w:val="009B12BE"/>
    <w:rsid w:val="009B1CE2"/>
    <w:rsid w:val="009B24D7"/>
    <w:rsid w:val="009B3264"/>
    <w:rsid w:val="009B352C"/>
    <w:rsid w:val="009B4587"/>
    <w:rsid w:val="009B4D7F"/>
    <w:rsid w:val="009B4E76"/>
    <w:rsid w:val="009B586D"/>
    <w:rsid w:val="009B60C5"/>
    <w:rsid w:val="009C0798"/>
    <w:rsid w:val="009C1B1D"/>
    <w:rsid w:val="009C410D"/>
    <w:rsid w:val="009C6B7F"/>
    <w:rsid w:val="009C6F10"/>
    <w:rsid w:val="009C7BD1"/>
    <w:rsid w:val="009C7F75"/>
    <w:rsid w:val="009D1293"/>
    <w:rsid w:val="009D1A89"/>
    <w:rsid w:val="009D72FC"/>
    <w:rsid w:val="009D778D"/>
    <w:rsid w:val="009D7F3D"/>
    <w:rsid w:val="009E005E"/>
    <w:rsid w:val="009E093B"/>
    <w:rsid w:val="009E10F6"/>
    <w:rsid w:val="009E1241"/>
    <w:rsid w:val="009E1812"/>
    <w:rsid w:val="009E432D"/>
    <w:rsid w:val="009E4395"/>
    <w:rsid w:val="009E47FE"/>
    <w:rsid w:val="009E5F7A"/>
    <w:rsid w:val="009E78BB"/>
    <w:rsid w:val="009E7BED"/>
    <w:rsid w:val="009E7C9F"/>
    <w:rsid w:val="009E7F40"/>
    <w:rsid w:val="009F11E8"/>
    <w:rsid w:val="009F17FB"/>
    <w:rsid w:val="009F1A7E"/>
    <w:rsid w:val="009F6173"/>
    <w:rsid w:val="009F7EC4"/>
    <w:rsid w:val="00A00095"/>
    <w:rsid w:val="00A011FF"/>
    <w:rsid w:val="00A027FE"/>
    <w:rsid w:val="00A05773"/>
    <w:rsid w:val="00A05782"/>
    <w:rsid w:val="00A0594E"/>
    <w:rsid w:val="00A05976"/>
    <w:rsid w:val="00A0639A"/>
    <w:rsid w:val="00A06EE0"/>
    <w:rsid w:val="00A103E3"/>
    <w:rsid w:val="00A129ED"/>
    <w:rsid w:val="00A14A00"/>
    <w:rsid w:val="00A15669"/>
    <w:rsid w:val="00A15C3B"/>
    <w:rsid w:val="00A17929"/>
    <w:rsid w:val="00A23ED8"/>
    <w:rsid w:val="00A27B94"/>
    <w:rsid w:val="00A307F0"/>
    <w:rsid w:val="00A3164B"/>
    <w:rsid w:val="00A3208D"/>
    <w:rsid w:val="00A33A7B"/>
    <w:rsid w:val="00A357CB"/>
    <w:rsid w:val="00A35E54"/>
    <w:rsid w:val="00A35ED4"/>
    <w:rsid w:val="00A37119"/>
    <w:rsid w:val="00A40F60"/>
    <w:rsid w:val="00A41194"/>
    <w:rsid w:val="00A43D61"/>
    <w:rsid w:val="00A46D34"/>
    <w:rsid w:val="00A46D44"/>
    <w:rsid w:val="00A5102C"/>
    <w:rsid w:val="00A514F0"/>
    <w:rsid w:val="00A5183E"/>
    <w:rsid w:val="00A52C79"/>
    <w:rsid w:val="00A53D14"/>
    <w:rsid w:val="00A53DB9"/>
    <w:rsid w:val="00A550F2"/>
    <w:rsid w:val="00A571D5"/>
    <w:rsid w:val="00A57682"/>
    <w:rsid w:val="00A62E52"/>
    <w:rsid w:val="00A63078"/>
    <w:rsid w:val="00A63206"/>
    <w:rsid w:val="00A65FA9"/>
    <w:rsid w:val="00A677E1"/>
    <w:rsid w:val="00A67F8A"/>
    <w:rsid w:val="00A70D34"/>
    <w:rsid w:val="00A71330"/>
    <w:rsid w:val="00A72E0A"/>
    <w:rsid w:val="00A732EF"/>
    <w:rsid w:val="00A73C79"/>
    <w:rsid w:val="00A7626C"/>
    <w:rsid w:val="00A76ACA"/>
    <w:rsid w:val="00A814C5"/>
    <w:rsid w:val="00A82308"/>
    <w:rsid w:val="00A83BCA"/>
    <w:rsid w:val="00A84CED"/>
    <w:rsid w:val="00A86448"/>
    <w:rsid w:val="00A86EA7"/>
    <w:rsid w:val="00A9084A"/>
    <w:rsid w:val="00A91611"/>
    <w:rsid w:val="00A92D32"/>
    <w:rsid w:val="00A930B7"/>
    <w:rsid w:val="00A93685"/>
    <w:rsid w:val="00A95C10"/>
    <w:rsid w:val="00A96D3A"/>
    <w:rsid w:val="00AA0758"/>
    <w:rsid w:val="00AA0E11"/>
    <w:rsid w:val="00AA101B"/>
    <w:rsid w:val="00AA12F3"/>
    <w:rsid w:val="00AA2BE2"/>
    <w:rsid w:val="00AA51EF"/>
    <w:rsid w:val="00AA70D1"/>
    <w:rsid w:val="00AB00DA"/>
    <w:rsid w:val="00AB0EB9"/>
    <w:rsid w:val="00AB0FCC"/>
    <w:rsid w:val="00AB2654"/>
    <w:rsid w:val="00AB2D93"/>
    <w:rsid w:val="00AB372F"/>
    <w:rsid w:val="00AB742A"/>
    <w:rsid w:val="00AB7C1F"/>
    <w:rsid w:val="00AC1310"/>
    <w:rsid w:val="00AC3535"/>
    <w:rsid w:val="00AC41F6"/>
    <w:rsid w:val="00AC50FE"/>
    <w:rsid w:val="00AC54E7"/>
    <w:rsid w:val="00AC6461"/>
    <w:rsid w:val="00AD0320"/>
    <w:rsid w:val="00AD2805"/>
    <w:rsid w:val="00AD336C"/>
    <w:rsid w:val="00AD536F"/>
    <w:rsid w:val="00AD679C"/>
    <w:rsid w:val="00AD6D17"/>
    <w:rsid w:val="00AD7784"/>
    <w:rsid w:val="00AE24A6"/>
    <w:rsid w:val="00AE2915"/>
    <w:rsid w:val="00AE4842"/>
    <w:rsid w:val="00AE6012"/>
    <w:rsid w:val="00AE60AB"/>
    <w:rsid w:val="00AE653D"/>
    <w:rsid w:val="00AE71A5"/>
    <w:rsid w:val="00AF21DB"/>
    <w:rsid w:val="00AF2228"/>
    <w:rsid w:val="00AF2250"/>
    <w:rsid w:val="00AF3F8D"/>
    <w:rsid w:val="00AF59AA"/>
    <w:rsid w:val="00AF61F5"/>
    <w:rsid w:val="00AF730F"/>
    <w:rsid w:val="00AF738C"/>
    <w:rsid w:val="00AF76C7"/>
    <w:rsid w:val="00B04C4A"/>
    <w:rsid w:val="00B0720D"/>
    <w:rsid w:val="00B11566"/>
    <w:rsid w:val="00B1381F"/>
    <w:rsid w:val="00B15A8D"/>
    <w:rsid w:val="00B17D77"/>
    <w:rsid w:val="00B2213E"/>
    <w:rsid w:val="00B23CAB"/>
    <w:rsid w:val="00B24BA1"/>
    <w:rsid w:val="00B25770"/>
    <w:rsid w:val="00B2605F"/>
    <w:rsid w:val="00B2644D"/>
    <w:rsid w:val="00B2776C"/>
    <w:rsid w:val="00B27A8A"/>
    <w:rsid w:val="00B27BEC"/>
    <w:rsid w:val="00B3020A"/>
    <w:rsid w:val="00B31D2E"/>
    <w:rsid w:val="00B32B7C"/>
    <w:rsid w:val="00B34871"/>
    <w:rsid w:val="00B35B7B"/>
    <w:rsid w:val="00B36A81"/>
    <w:rsid w:val="00B37E3E"/>
    <w:rsid w:val="00B37FE0"/>
    <w:rsid w:val="00B42340"/>
    <w:rsid w:val="00B42EEB"/>
    <w:rsid w:val="00B43E93"/>
    <w:rsid w:val="00B44E6C"/>
    <w:rsid w:val="00B47F05"/>
    <w:rsid w:val="00B50674"/>
    <w:rsid w:val="00B518F4"/>
    <w:rsid w:val="00B53477"/>
    <w:rsid w:val="00B61A74"/>
    <w:rsid w:val="00B66855"/>
    <w:rsid w:val="00B67D42"/>
    <w:rsid w:val="00B70906"/>
    <w:rsid w:val="00B70D54"/>
    <w:rsid w:val="00B70E7D"/>
    <w:rsid w:val="00B715A7"/>
    <w:rsid w:val="00B74F4D"/>
    <w:rsid w:val="00B802D3"/>
    <w:rsid w:val="00B823E9"/>
    <w:rsid w:val="00B832AA"/>
    <w:rsid w:val="00B83F08"/>
    <w:rsid w:val="00B84DC6"/>
    <w:rsid w:val="00B860FE"/>
    <w:rsid w:val="00B86CDF"/>
    <w:rsid w:val="00B87B54"/>
    <w:rsid w:val="00B90C84"/>
    <w:rsid w:val="00B91D84"/>
    <w:rsid w:val="00B93410"/>
    <w:rsid w:val="00B93CCD"/>
    <w:rsid w:val="00B94EF2"/>
    <w:rsid w:val="00B97FB0"/>
    <w:rsid w:val="00BA0501"/>
    <w:rsid w:val="00BA0869"/>
    <w:rsid w:val="00BA1272"/>
    <w:rsid w:val="00BA1327"/>
    <w:rsid w:val="00BA13B6"/>
    <w:rsid w:val="00BA2712"/>
    <w:rsid w:val="00BA2E53"/>
    <w:rsid w:val="00BA41DD"/>
    <w:rsid w:val="00BA4728"/>
    <w:rsid w:val="00BA69D6"/>
    <w:rsid w:val="00BA6E4F"/>
    <w:rsid w:val="00BB059C"/>
    <w:rsid w:val="00BB535E"/>
    <w:rsid w:val="00BB5669"/>
    <w:rsid w:val="00BB5C78"/>
    <w:rsid w:val="00BC00D1"/>
    <w:rsid w:val="00BC0FB6"/>
    <w:rsid w:val="00BC1FC4"/>
    <w:rsid w:val="00BC32A5"/>
    <w:rsid w:val="00BC3BA9"/>
    <w:rsid w:val="00BC3D9C"/>
    <w:rsid w:val="00BC5294"/>
    <w:rsid w:val="00BC5D7E"/>
    <w:rsid w:val="00BC756E"/>
    <w:rsid w:val="00BD09AE"/>
    <w:rsid w:val="00BD0A10"/>
    <w:rsid w:val="00BD27FB"/>
    <w:rsid w:val="00BD30FE"/>
    <w:rsid w:val="00BD3158"/>
    <w:rsid w:val="00BD32ED"/>
    <w:rsid w:val="00BD37D0"/>
    <w:rsid w:val="00BD682E"/>
    <w:rsid w:val="00BE0158"/>
    <w:rsid w:val="00BE171C"/>
    <w:rsid w:val="00BE1E8A"/>
    <w:rsid w:val="00BE33C4"/>
    <w:rsid w:val="00BE45AE"/>
    <w:rsid w:val="00BE6637"/>
    <w:rsid w:val="00BE679B"/>
    <w:rsid w:val="00BE6885"/>
    <w:rsid w:val="00BE6CC8"/>
    <w:rsid w:val="00BE72F6"/>
    <w:rsid w:val="00BE7F2E"/>
    <w:rsid w:val="00BF1B0B"/>
    <w:rsid w:val="00BF50ED"/>
    <w:rsid w:val="00BF572D"/>
    <w:rsid w:val="00BF58CF"/>
    <w:rsid w:val="00BF6607"/>
    <w:rsid w:val="00BF6BC5"/>
    <w:rsid w:val="00BF7601"/>
    <w:rsid w:val="00C008D7"/>
    <w:rsid w:val="00C01836"/>
    <w:rsid w:val="00C0225A"/>
    <w:rsid w:val="00C0441A"/>
    <w:rsid w:val="00C07529"/>
    <w:rsid w:val="00C07B6F"/>
    <w:rsid w:val="00C10822"/>
    <w:rsid w:val="00C12956"/>
    <w:rsid w:val="00C13CF2"/>
    <w:rsid w:val="00C14E46"/>
    <w:rsid w:val="00C154F7"/>
    <w:rsid w:val="00C159A1"/>
    <w:rsid w:val="00C15D92"/>
    <w:rsid w:val="00C16B4E"/>
    <w:rsid w:val="00C17BF6"/>
    <w:rsid w:val="00C17FD6"/>
    <w:rsid w:val="00C2162D"/>
    <w:rsid w:val="00C2272F"/>
    <w:rsid w:val="00C2356D"/>
    <w:rsid w:val="00C2369D"/>
    <w:rsid w:val="00C241CE"/>
    <w:rsid w:val="00C2435B"/>
    <w:rsid w:val="00C267E5"/>
    <w:rsid w:val="00C30C76"/>
    <w:rsid w:val="00C31C64"/>
    <w:rsid w:val="00C33225"/>
    <w:rsid w:val="00C3625D"/>
    <w:rsid w:val="00C4082A"/>
    <w:rsid w:val="00C413F6"/>
    <w:rsid w:val="00C42CEB"/>
    <w:rsid w:val="00C45B6B"/>
    <w:rsid w:val="00C4712B"/>
    <w:rsid w:val="00C47A9D"/>
    <w:rsid w:val="00C47B97"/>
    <w:rsid w:val="00C50159"/>
    <w:rsid w:val="00C5052A"/>
    <w:rsid w:val="00C513E3"/>
    <w:rsid w:val="00C517F6"/>
    <w:rsid w:val="00C52954"/>
    <w:rsid w:val="00C547A2"/>
    <w:rsid w:val="00C56D1C"/>
    <w:rsid w:val="00C62480"/>
    <w:rsid w:val="00C658BF"/>
    <w:rsid w:val="00C70A92"/>
    <w:rsid w:val="00C72AB8"/>
    <w:rsid w:val="00C72C42"/>
    <w:rsid w:val="00C73732"/>
    <w:rsid w:val="00C74B38"/>
    <w:rsid w:val="00C74FB9"/>
    <w:rsid w:val="00C776D8"/>
    <w:rsid w:val="00C81F30"/>
    <w:rsid w:val="00C84E23"/>
    <w:rsid w:val="00C9096C"/>
    <w:rsid w:val="00C917E3"/>
    <w:rsid w:val="00C9183A"/>
    <w:rsid w:val="00C9467F"/>
    <w:rsid w:val="00C94892"/>
    <w:rsid w:val="00C94CF0"/>
    <w:rsid w:val="00C97FCA"/>
    <w:rsid w:val="00CA1FF3"/>
    <w:rsid w:val="00CA4B41"/>
    <w:rsid w:val="00CA5B4E"/>
    <w:rsid w:val="00CA7C8F"/>
    <w:rsid w:val="00CB102B"/>
    <w:rsid w:val="00CB1147"/>
    <w:rsid w:val="00CB2246"/>
    <w:rsid w:val="00CB2264"/>
    <w:rsid w:val="00CB380D"/>
    <w:rsid w:val="00CB4A4B"/>
    <w:rsid w:val="00CB554B"/>
    <w:rsid w:val="00CB698A"/>
    <w:rsid w:val="00CB6E12"/>
    <w:rsid w:val="00CC06BB"/>
    <w:rsid w:val="00CC287C"/>
    <w:rsid w:val="00CC295C"/>
    <w:rsid w:val="00CC30A3"/>
    <w:rsid w:val="00CC59E4"/>
    <w:rsid w:val="00CC79DC"/>
    <w:rsid w:val="00CC7B45"/>
    <w:rsid w:val="00CC7B65"/>
    <w:rsid w:val="00CD0A76"/>
    <w:rsid w:val="00CD0B1C"/>
    <w:rsid w:val="00CD1B2E"/>
    <w:rsid w:val="00CD225B"/>
    <w:rsid w:val="00CD246A"/>
    <w:rsid w:val="00CD426F"/>
    <w:rsid w:val="00CD6056"/>
    <w:rsid w:val="00CD6AB7"/>
    <w:rsid w:val="00CE39CB"/>
    <w:rsid w:val="00CE3BD0"/>
    <w:rsid w:val="00CE531B"/>
    <w:rsid w:val="00CE53EE"/>
    <w:rsid w:val="00CE5DE7"/>
    <w:rsid w:val="00CE6ACF"/>
    <w:rsid w:val="00CE6EE1"/>
    <w:rsid w:val="00CE738B"/>
    <w:rsid w:val="00CF1424"/>
    <w:rsid w:val="00CF246B"/>
    <w:rsid w:val="00CF4790"/>
    <w:rsid w:val="00CF489D"/>
    <w:rsid w:val="00CF5A59"/>
    <w:rsid w:val="00D00169"/>
    <w:rsid w:val="00D019F2"/>
    <w:rsid w:val="00D01DF4"/>
    <w:rsid w:val="00D030B7"/>
    <w:rsid w:val="00D03274"/>
    <w:rsid w:val="00D05F81"/>
    <w:rsid w:val="00D06458"/>
    <w:rsid w:val="00D07778"/>
    <w:rsid w:val="00D114D0"/>
    <w:rsid w:val="00D1493C"/>
    <w:rsid w:val="00D16361"/>
    <w:rsid w:val="00D17078"/>
    <w:rsid w:val="00D17757"/>
    <w:rsid w:val="00D21011"/>
    <w:rsid w:val="00D218DF"/>
    <w:rsid w:val="00D225D1"/>
    <w:rsid w:val="00D23805"/>
    <w:rsid w:val="00D27811"/>
    <w:rsid w:val="00D31504"/>
    <w:rsid w:val="00D31C87"/>
    <w:rsid w:val="00D324AB"/>
    <w:rsid w:val="00D333F6"/>
    <w:rsid w:val="00D3377E"/>
    <w:rsid w:val="00D34A07"/>
    <w:rsid w:val="00D34E3A"/>
    <w:rsid w:val="00D3597C"/>
    <w:rsid w:val="00D41BAA"/>
    <w:rsid w:val="00D428D1"/>
    <w:rsid w:val="00D4335B"/>
    <w:rsid w:val="00D4509C"/>
    <w:rsid w:val="00D455DF"/>
    <w:rsid w:val="00D45B8E"/>
    <w:rsid w:val="00D511F4"/>
    <w:rsid w:val="00D5241F"/>
    <w:rsid w:val="00D54402"/>
    <w:rsid w:val="00D5449C"/>
    <w:rsid w:val="00D547ED"/>
    <w:rsid w:val="00D54CD2"/>
    <w:rsid w:val="00D56494"/>
    <w:rsid w:val="00D5680F"/>
    <w:rsid w:val="00D573B2"/>
    <w:rsid w:val="00D575CD"/>
    <w:rsid w:val="00D606CD"/>
    <w:rsid w:val="00D60C14"/>
    <w:rsid w:val="00D611BA"/>
    <w:rsid w:val="00D658DE"/>
    <w:rsid w:val="00D66B1A"/>
    <w:rsid w:val="00D674E6"/>
    <w:rsid w:val="00D70C6C"/>
    <w:rsid w:val="00D71235"/>
    <w:rsid w:val="00D717EC"/>
    <w:rsid w:val="00D76F24"/>
    <w:rsid w:val="00D80207"/>
    <w:rsid w:val="00D8152D"/>
    <w:rsid w:val="00D8219C"/>
    <w:rsid w:val="00D83D4D"/>
    <w:rsid w:val="00D84C06"/>
    <w:rsid w:val="00D85A34"/>
    <w:rsid w:val="00D8605F"/>
    <w:rsid w:val="00D91ACF"/>
    <w:rsid w:val="00D91B9C"/>
    <w:rsid w:val="00D92643"/>
    <w:rsid w:val="00D97624"/>
    <w:rsid w:val="00DA06E1"/>
    <w:rsid w:val="00DA0C12"/>
    <w:rsid w:val="00DA0F54"/>
    <w:rsid w:val="00DA1D99"/>
    <w:rsid w:val="00DA2876"/>
    <w:rsid w:val="00DA4516"/>
    <w:rsid w:val="00DA4A3D"/>
    <w:rsid w:val="00DA5CA7"/>
    <w:rsid w:val="00DA709F"/>
    <w:rsid w:val="00DB16FC"/>
    <w:rsid w:val="00DB2037"/>
    <w:rsid w:val="00DB28C2"/>
    <w:rsid w:val="00DB4613"/>
    <w:rsid w:val="00DB4F3F"/>
    <w:rsid w:val="00DB5DF0"/>
    <w:rsid w:val="00DB6232"/>
    <w:rsid w:val="00DB69B8"/>
    <w:rsid w:val="00DB6DEA"/>
    <w:rsid w:val="00DC0711"/>
    <w:rsid w:val="00DC192D"/>
    <w:rsid w:val="00DC36DA"/>
    <w:rsid w:val="00DC5FFE"/>
    <w:rsid w:val="00DC7671"/>
    <w:rsid w:val="00DC7B55"/>
    <w:rsid w:val="00DC7C1E"/>
    <w:rsid w:val="00DD080F"/>
    <w:rsid w:val="00DD31BC"/>
    <w:rsid w:val="00DD33EA"/>
    <w:rsid w:val="00DD4E72"/>
    <w:rsid w:val="00DD5298"/>
    <w:rsid w:val="00DD6A03"/>
    <w:rsid w:val="00DE010F"/>
    <w:rsid w:val="00DE0C14"/>
    <w:rsid w:val="00DE3C8F"/>
    <w:rsid w:val="00DE4423"/>
    <w:rsid w:val="00DE47E2"/>
    <w:rsid w:val="00DE4CCA"/>
    <w:rsid w:val="00DE5D71"/>
    <w:rsid w:val="00DE670D"/>
    <w:rsid w:val="00DF47ED"/>
    <w:rsid w:val="00DF5731"/>
    <w:rsid w:val="00DF5AEA"/>
    <w:rsid w:val="00DF5DED"/>
    <w:rsid w:val="00DF6949"/>
    <w:rsid w:val="00E00A85"/>
    <w:rsid w:val="00E01E95"/>
    <w:rsid w:val="00E0547E"/>
    <w:rsid w:val="00E06E8B"/>
    <w:rsid w:val="00E074C1"/>
    <w:rsid w:val="00E12773"/>
    <w:rsid w:val="00E12E1B"/>
    <w:rsid w:val="00E13776"/>
    <w:rsid w:val="00E1484E"/>
    <w:rsid w:val="00E14DF9"/>
    <w:rsid w:val="00E15103"/>
    <w:rsid w:val="00E15BDC"/>
    <w:rsid w:val="00E15E80"/>
    <w:rsid w:val="00E15FEB"/>
    <w:rsid w:val="00E1617B"/>
    <w:rsid w:val="00E16EFD"/>
    <w:rsid w:val="00E1719B"/>
    <w:rsid w:val="00E1735C"/>
    <w:rsid w:val="00E17664"/>
    <w:rsid w:val="00E1774D"/>
    <w:rsid w:val="00E224D2"/>
    <w:rsid w:val="00E2268D"/>
    <w:rsid w:val="00E22BF8"/>
    <w:rsid w:val="00E27F87"/>
    <w:rsid w:val="00E31206"/>
    <w:rsid w:val="00E31AA1"/>
    <w:rsid w:val="00E31B51"/>
    <w:rsid w:val="00E324A4"/>
    <w:rsid w:val="00E36081"/>
    <w:rsid w:val="00E3769E"/>
    <w:rsid w:val="00E41A6F"/>
    <w:rsid w:val="00E4238E"/>
    <w:rsid w:val="00E439D1"/>
    <w:rsid w:val="00E43F06"/>
    <w:rsid w:val="00E44897"/>
    <w:rsid w:val="00E4528D"/>
    <w:rsid w:val="00E45953"/>
    <w:rsid w:val="00E4691F"/>
    <w:rsid w:val="00E50B09"/>
    <w:rsid w:val="00E50BC1"/>
    <w:rsid w:val="00E50CEB"/>
    <w:rsid w:val="00E5100F"/>
    <w:rsid w:val="00E5116E"/>
    <w:rsid w:val="00E52518"/>
    <w:rsid w:val="00E54EC1"/>
    <w:rsid w:val="00E56663"/>
    <w:rsid w:val="00E56B80"/>
    <w:rsid w:val="00E5793F"/>
    <w:rsid w:val="00E62C95"/>
    <w:rsid w:val="00E62DCD"/>
    <w:rsid w:val="00E63363"/>
    <w:rsid w:val="00E64827"/>
    <w:rsid w:val="00E6504E"/>
    <w:rsid w:val="00E65544"/>
    <w:rsid w:val="00E74918"/>
    <w:rsid w:val="00E77C27"/>
    <w:rsid w:val="00E77EDC"/>
    <w:rsid w:val="00E8070F"/>
    <w:rsid w:val="00E80B3D"/>
    <w:rsid w:val="00E82626"/>
    <w:rsid w:val="00E82F38"/>
    <w:rsid w:val="00E84028"/>
    <w:rsid w:val="00E855A8"/>
    <w:rsid w:val="00E85647"/>
    <w:rsid w:val="00E85A04"/>
    <w:rsid w:val="00E85FA2"/>
    <w:rsid w:val="00E86710"/>
    <w:rsid w:val="00E86AAA"/>
    <w:rsid w:val="00E86E1C"/>
    <w:rsid w:val="00E941FF"/>
    <w:rsid w:val="00E94625"/>
    <w:rsid w:val="00E94F80"/>
    <w:rsid w:val="00E95049"/>
    <w:rsid w:val="00E9531B"/>
    <w:rsid w:val="00E9531C"/>
    <w:rsid w:val="00E95649"/>
    <w:rsid w:val="00E959B1"/>
    <w:rsid w:val="00E9661C"/>
    <w:rsid w:val="00E9715D"/>
    <w:rsid w:val="00EA0490"/>
    <w:rsid w:val="00EA16B1"/>
    <w:rsid w:val="00EA1E86"/>
    <w:rsid w:val="00EA3104"/>
    <w:rsid w:val="00EA314E"/>
    <w:rsid w:val="00EA4F42"/>
    <w:rsid w:val="00EA5DD5"/>
    <w:rsid w:val="00EA777E"/>
    <w:rsid w:val="00EB0DC4"/>
    <w:rsid w:val="00EB0F4A"/>
    <w:rsid w:val="00EB1B6C"/>
    <w:rsid w:val="00EB20E1"/>
    <w:rsid w:val="00EB2271"/>
    <w:rsid w:val="00EB3F1E"/>
    <w:rsid w:val="00EB468B"/>
    <w:rsid w:val="00EB525A"/>
    <w:rsid w:val="00EB5A39"/>
    <w:rsid w:val="00EB5C7C"/>
    <w:rsid w:val="00EB6432"/>
    <w:rsid w:val="00EB6B31"/>
    <w:rsid w:val="00EB70C9"/>
    <w:rsid w:val="00EC1A8A"/>
    <w:rsid w:val="00EC2E35"/>
    <w:rsid w:val="00EC30ED"/>
    <w:rsid w:val="00EC46EB"/>
    <w:rsid w:val="00EC5011"/>
    <w:rsid w:val="00EC55D4"/>
    <w:rsid w:val="00EC5FEB"/>
    <w:rsid w:val="00EC72D0"/>
    <w:rsid w:val="00ED0001"/>
    <w:rsid w:val="00ED08FF"/>
    <w:rsid w:val="00ED0C2F"/>
    <w:rsid w:val="00ED0C5D"/>
    <w:rsid w:val="00ED2748"/>
    <w:rsid w:val="00ED3A3F"/>
    <w:rsid w:val="00ED3C41"/>
    <w:rsid w:val="00ED4892"/>
    <w:rsid w:val="00ED62E5"/>
    <w:rsid w:val="00ED67F1"/>
    <w:rsid w:val="00ED701C"/>
    <w:rsid w:val="00EE410E"/>
    <w:rsid w:val="00EE4BFA"/>
    <w:rsid w:val="00EF030E"/>
    <w:rsid w:val="00EF0B76"/>
    <w:rsid w:val="00EF5207"/>
    <w:rsid w:val="00EF522D"/>
    <w:rsid w:val="00EF5D87"/>
    <w:rsid w:val="00F005D3"/>
    <w:rsid w:val="00F0083D"/>
    <w:rsid w:val="00F00E54"/>
    <w:rsid w:val="00F03068"/>
    <w:rsid w:val="00F04E7E"/>
    <w:rsid w:val="00F05AD1"/>
    <w:rsid w:val="00F05BE7"/>
    <w:rsid w:val="00F1165B"/>
    <w:rsid w:val="00F11741"/>
    <w:rsid w:val="00F124C4"/>
    <w:rsid w:val="00F13189"/>
    <w:rsid w:val="00F1432E"/>
    <w:rsid w:val="00F15D56"/>
    <w:rsid w:val="00F21F1E"/>
    <w:rsid w:val="00F22B70"/>
    <w:rsid w:val="00F22F7F"/>
    <w:rsid w:val="00F2392F"/>
    <w:rsid w:val="00F265F0"/>
    <w:rsid w:val="00F275A7"/>
    <w:rsid w:val="00F279A2"/>
    <w:rsid w:val="00F27F39"/>
    <w:rsid w:val="00F31268"/>
    <w:rsid w:val="00F31966"/>
    <w:rsid w:val="00F31FA2"/>
    <w:rsid w:val="00F325A4"/>
    <w:rsid w:val="00F33ADF"/>
    <w:rsid w:val="00F35788"/>
    <w:rsid w:val="00F35FBF"/>
    <w:rsid w:val="00F421C4"/>
    <w:rsid w:val="00F421C8"/>
    <w:rsid w:val="00F42FC1"/>
    <w:rsid w:val="00F522C6"/>
    <w:rsid w:val="00F554C6"/>
    <w:rsid w:val="00F57521"/>
    <w:rsid w:val="00F60382"/>
    <w:rsid w:val="00F616B8"/>
    <w:rsid w:val="00F61E8A"/>
    <w:rsid w:val="00F64851"/>
    <w:rsid w:val="00F65FB7"/>
    <w:rsid w:val="00F666F8"/>
    <w:rsid w:val="00F66708"/>
    <w:rsid w:val="00F710E5"/>
    <w:rsid w:val="00F71230"/>
    <w:rsid w:val="00F71B35"/>
    <w:rsid w:val="00F72733"/>
    <w:rsid w:val="00F72E38"/>
    <w:rsid w:val="00F73822"/>
    <w:rsid w:val="00F74768"/>
    <w:rsid w:val="00F7619E"/>
    <w:rsid w:val="00F766D2"/>
    <w:rsid w:val="00F76DC4"/>
    <w:rsid w:val="00F81D20"/>
    <w:rsid w:val="00F824AB"/>
    <w:rsid w:val="00F83393"/>
    <w:rsid w:val="00F8393F"/>
    <w:rsid w:val="00F852E6"/>
    <w:rsid w:val="00F8581E"/>
    <w:rsid w:val="00F86BD7"/>
    <w:rsid w:val="00F873BF"/>
    <w:rsid w:val="00F90457"/>
    <w:rsid w:val="00F907B8"/>
    <w:rsid w:val="00F97AD8"/>
    <w:rsid w:val="00F97BA5"/>
    <w:rsid w:val="00FA2CB1"/>
    <w:rsid w:val="00FA3234"/>
    <w:rsid w:val="00FA58B2"/>
    <w:rsid w:val="00FB17C0"/>
    <w:rsid w:val="00FB232F"/>
    <w:rsid w:val="00FB23C6"/>
    <w:rsid w:val="00FB3EEC"/>
    <w:rsid w:val="00FB489C"/>
    <w:rsid w:val="00FB551D"/>
    <w:rsid w:val="00FC3400"/>
    <w:rsid w:val="00FC501A"/>
    <w:rsid w:val="00FC537E"/>
    <w:rsid w:val="00FC782A"/>
    <w:rsid w:val="00FC7C22"/>
    <w:rsid w:val="00FD1A83"/>
    <w:rsid w:val="00FD51C0"/>
    <w:rsid w:val="00FD5412"/>
    <w:rsid w:val="00FD5CF4"/>
    <w:rsid w:val="00FE26B2"/>
    <w:rsid w:val="00FE44A7"/>
    <w:rsid w:val="00FE5925"/>
    <w:rsid w:val="00FE6040"/>
    <w:rsid w:val="00FE6B8D"/>
    <w:rsid w:val="00FE6DFD"/>
    <w:rsid w:val="00FE70A9"/>
    <w:rsid w:val="00FE7D3E"/>
    <w:rsid w:val="00FF0D93"/>
    <w:rsid w:val="00FF15C8"/>
    <w:rsid w:val="00FF1E5D"/>
    <w:rsid w:val="00FF4B46"/>
    <w:rsid w:val="00FF733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4BEEB"/>
  <w15:docId w15:val="{000D5A95-01A3-4893-BFEE-06CFECD2A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line="276" w:lineRule="auto"/>
        <w:ind w:right="57"/>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AB372F"/>
    <w:pPr>
      <w:spacing w:line="240" w:lineRule="auto"/>
      <w:ind w:right="0"/>
    </w:pPr>
    <w:rPr>
      <w:rFonts w:ascii="Times New Roman" w:eastAsia="Times New Roman" w:hAnsi="Times New Roman" w:cs="Times New Roman"/>
      <w:sz w:val="24"/>
      <w:szCs w:val="24"/>
      <w:lang w:eastAsia="cs-CZ"/>
    </w:rPr>
  </w:style>
  <w:style w:type="paragraph" w:styleId="Nadpis1">
    <w:name w:val="heading 1"/>
    <w:aliases w:val="Chapter"/>
    <w:basedOn w:val="Normlny"/>
    <w:next w:val="Normlny"/>
    <w:link w:val="Nadpis1Char"/>
    <w:qFormat/>
    <w:rsid w:val="00AB372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y"/>
    <w:next w:val="Normlny"/>
    <w:link w:val="Nadpis2Char"/>
    <w:autoRedefine/>
    <w:unhideWhenUsed/>
    <w:qFormat/>
    <w:rsid w:val="00AB372F"/>
    <w:pPr>
      <w:keepNext/>
      <w:spacing w:line="276" w:lineRule="auto"/>
      <w:jc w:val="both"/>
      <w:outlineLvl w:val="1"/>
    </w:pPr>
    <w:rPr>
      <w:rFonts w:asciiTheme="minorHAnsi" w:eastAsiaTheme="majorEastAsia" w:hAnsiTheme="minorHAnsi" w:cstheme="minorHAnsi"/>
      <w:b/>
      <w:bCs/>
      <w:sz w:val="28"/>
      <w:szCs w:val="2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Chapter Char"/>
    <w:basedOn w:val="Predvolenpsmoodseku"/>
    <w:link w:val="Nadpis1"/>
    <w:rsid w:val="00AB372F"/>
    <w:rPr>
      <w:rFonts w:asciiTheme="majorHAnsi" w:eastAsiaTheme="majorEastAsia" w:hAnsiTheme="majorHAnsi" w:cstheme="majorBidi"/>
      <w:b/>
      <w:bCs/>
      <w:color w:val="365F91" w:themeColor="accent1" w:themeShade="BF"/>
      <w:sz w:val="28"/>
      <w:szCs w:val="28"/>
      <w:lang w:eastAsia="cs-CZ"/>
    </w:rPr>
  </w:style>
  <w:style w:type="character" w:customStyle="1" w:styleId="Nadpis2Char">
    <w:name w:val="Nadpis 2 Char"/>
    <w:basedOn w:val="Predvolenpsmoodseku"/>
    <w:link w:val="Nadpis2"/>
    <w:rsid w:val="00AB372F"/>
    <w:rPr>
      <w:rFonts w:eastAsiaTheme="majorEastAsia" w:cstheme="minorHAnsi"/>
      <w:b/>
      <w:bCs/>
      <w:sz w:val="28"/>
      <w:szCs w:val="28"/>
      <w:lang w:eastAsia="cs-CZ"/>
    </w:rPr>
  </w:style>
  <w:style w:type="paragraph" w:styleId="Textpoznmkypodiarou">
    <w:name w:val="footnote text"/>
    <w:basedOn w:val="Normlny"/>
    <w:link w:val="TextpoznmkypodiarouChar"/>
    <w:uiPriority w:val="99"/>
    <w:unhideWhenUsed/>
    <w:rsid w:val="00AB372F"/>
    <w:rPr>
      <w:sz w:val="20"/>
      <w:szCs w:val="20"/>
    </w:rPr>
  </w:style>
  <w:style w:type="character" w:customStyle="1" w:styleId="TextpoznmkypodiarouChar">
    <w:name w:val="Text poznámky pod čiarou Char"/>
    <w:basedOn w:val="Predvolenpsmoodseku"/>
    <w:link w:val="Textpoznmkypodiarou"/>
    <w:uiPriority w:val="99"/>
    <w:rsid w:val="00AB372F"/>
    <w:rPr>
      <w:rFonts w:ascii="Times New Roman" w:eastAsia="Times New Roman" w:hAnsi="Times New Roman" w:cs="Times New Roman"/>
      <w:sz w:val="20"/>
      <w:szCs w:val="20"/>
      <w:lang w:eastAsia="cs-CZ"/>
    </w:rPr>
  </w:style>
  <w:style w:type="character" w:styleId="Odkaznapoznmkupodiarou">
    <w:name w:val="footnote reference"/>
    <w:aliases w:val="Footnote symbol,Voetnootverwijzing,Times 10 Point,Exposant 3 Point,Footnote reference number,Ref,de nota al pie,note TESI,SUPERS,EN Footnote Reference,Footnote sign,Footnote Reference Number, Exposant 3 Point,BVI fnr,Expos,o"/>
    <w:basedOn w:val="Predvolenpsmoodseku"/>
    <w:uiPriority w:val="99"/>
    <w:unhideWhenUsed/>
    <w:qFormat/>
    <w:rsid w:val="00AB372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4342</Words>
  <Characters>24754</Characters>
  <Application>Microsoft Office Word</Application>
  <DocSecurity>0</DocSecurity>
  <Lines>206</Lines>
  <Paragraphs>58</Paragraphs>
  <ScaleCrop>false</ScaleCrop>
  <Company>Your Company Name</Company>
  <LinksUpToDate>false</LinksUpToDate>
  <CharactersWithSpaces>29038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Jarmila Lazíková</cp:lastModifiedBy>
  <cp:revision>2</cp:revision>
  <dcterms:created xsi:type="dcterms:W3CDTF">2026-10-09T18:07:00Z</dcterms:created>
  <dcterms:modified xsi:type="dcterms:W3CDTF">2026-10-09T18:07:00Z</dcterms:modified>
</cp:coreProperties>
</file>